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BA" w:rsidRDefault="00601DBA" w:rsidP="00601DB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601DBA">
        <w:rPr>
          <w:rFonts w:ascii="Times New Roman" w:eastAsia="Times New Roman" w:hAnsi="Times New Roman" w:cs="Times New Roman"/>
          <w:b/>
          <w:bCs/>
          <w:kern w:val="36"/>
          <w:sz w:val="48"/>
          <w:szCs w:val="48"/>
          <w:lang w:eastAsia="es-MX"/>
        </w:rPr>
        <w:t>C100 - Convenio sobre igualdad de remuneración, 1951 (núm. 100)</w:t>
      </w:r>
    </w:p>
    <w:p w:rsidR="00601DBA" w:rsidRPr="00601DBA" w:rsidRDefault="00601DBA" w:rsidP="00601DB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01DBA">
        <w:rPr>
          <w:rFonts w:ascii="Times New Roman" w:eastAsia="Times New Roman" w:hAnsi="Times New Roman" w:cs="Times New Roman"/>
          <w:b/>
          <w:bCs/>
          <w:sz w:val="36"/>
          <w:szCs w:val="36"/>
          <w:lang w:eastAsia="es-MX"/>
        </w:rPr>
        <w:t xml:space="preserve">Preámbulo </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La Conferencia General de la Organización Internacional del Trabajo:</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6 junio 1951 en su trigésima cuarta reunión;</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Después de haber decidido adoptar diversas proposiciones relativas al principio de igualdad de remuneración entre la mano de obra masculina y la mano de obra femenina por un trabajo de igual valor, cuestión que está comprendida en el séptimo punto del orden del día de la reunión, y</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601DBA">
        <w:rPr>
          <w:rFonts w:ascii="Times New Roman" w:eastAsia="Times New Roman" w:hAnsi="Times New Roman" w:cs="Times New Roman"/>
          <w:sz w:val="24"/>
          <w:szCs w:val="24"/>
          <w:lang w:eastAsia="es-MX"/>
        </w:rPr>
        <w:t>adopta, con fecha veintinueve de junio de mil novecientos cincuenta y uno, el siguiente Convenio, que podrá ser citado como el Convenio sobre igualdad de remuneración, 1951:</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601DBA">
        <w:rPr>
          <w:rFonts w:ascii="Times New Roman" w:eastAsia="Times New Roman" w:hAnsi="Times New Roman" w:cs="Times New Roman"/>
          <w:b/>
          <w:bCs/>
          <w:sz w:val="20"/>
          <w:szCs w:val="20"/>
          <w:lang w:eastAsia="es-MX"/>
        </w:rPr>
        <w:t>Artículo 1</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A los efectos del presente Convenio:</w:t>
      </w:r>
    </w:p>
    <w:p w:rsidR="00601DBA" w:rsidRPr="00601DBA" w:rsidRDefault="00601DBA" w:rsidP="00601DB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 xml:space="preserve">(a) el término </w:t>
      </w:r>
      <w:r w:rsidRPr="00601DBA">
        <w:rPr>
          <w:rFonts w:ascii="Times New Roman" w:eastAsia="Times New Roman" w:hAnsi="Times New Roman" w:cs="Times New Roman"/>
          <w:b/>
          <w:bCs/>
          <w:i/>
          <w:iCs/>
          <w:sz w:val="24"/>
          <w:szCs w:val="24"/>
          <w:lang w:eastAsia="es-MX"/>
        </w:rPr>
        <w:t>remuneración</w:t>
      </w:r>
      <w:r w:rsidRPr="00601DBA">
        <w:rPr>
          <w:rFonts w:ascii="Times New Roman" w:eastAsia="Times New Roman" w:hAnsi="Times New Roman" w:cs="Times New Roman"/>
          <w:b/>
          <w:bCs/>
          <w:sz w:val="24"/>
          <w:szCs w:val="24"/>
          <w:lang w:eastAsia="es-MX"/>
        </w:rPr>
        <w:t xml:space="preserve"> </w:t>
      </w:r>
      <w:r w:rsidRPr="00601DBA">
        <w:rPr>
          <w:rFonts w:ascii="Times New Roman" w:eastAsia="Times New Roman" w:hAnsi="Times New Roman" w:cs="Times New Roman"/>
          <w:sz w:val="24"/>
          <w:szCs w:val="24"/>
          <w:lang w:eastAsia="es-MX"/>
        </w:rPr>
        <w:t>comprende el salario o sueldo ordinario, básico o mínimo, y cualquier otro emolumento en dinero o en especie pagados por el empleador, directa o indirectamente, al trabajador, en concepto del empleo de este último;</w:t>
      </w:r>
    </w:p>
    <w:p w:rsidR="00601DBA" w:rsidRPr="00601DBA" w:rsidRDefault="00601DBA" w:rsidP="00601DB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 xml:space="preserve">(b) la expresión </w:t>
      </w:r>
      <w:r w:rsidRPr="00601DBA">
        <w:rPr>
          <w:rFonts w:ascii="Times New Roman" w:eastAsia="Times New Roman" w:hAnsi="Times New Roman" w:cs="Times New Roman"/>
          <w:b/>
          <w:bCs/>
          <w:i/>
          <w:iCs/>
          <w:sz w:val="24"/>
          <w:szCs w:val="24"/>
          <w:lang w:eastAsia="es-MX"/>
        </w:rPr>
        <w:t>igualdad de remuneración entre la mano de obra masculina y la mano de obra femenina por un trabajo de igual valor</w:t>
      </w:r>
      <w:r w:rsidRPr="00601DBA">
        <w:rPr>
          <w:rFonts w:ascii="Times New Roman" w:eastAsia="Times New Roman" w:hAnsi="Times New Roman" w:cs="Times New Roman"/>
          <w:b/>
          <w:bCs/>
          <w:sz w:val="24"/>
          <w:szCs w:val="24"/>
          <w:lang w:eastAsia="es-MX"/>
        </w:rPr>
        <w:t xml:space="preserve"> </w:t>
      </w:r>
      <w:r w:rsidRPr="00601DBA">
        <w:rPr>
          <w:rFonts w:ascii="Times New Roman" w:eastAsia="Times New Roman" w:hAnsi="Times New Roman" w:cs="Times New Roman"/>
          <w:sz w:val="24"/>
          <w:szCs w:val="24"/>
          <w:lang w:eastAsia="es-MX"/>
        </w:rPr>
        <w:t>designa las tasas de remuneración fijadas sin discriminación en cuanto al sexo.</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2"/>
      <w:bookmarkEnd w:id="1"/>
      <w:r w:rsidRPr="00601DBA">
        <w:rPr>
          <w:rFonts w:ascii="Times New Roman" w:eastAsia="Times New Roman" w:hAnsi="Times New Roman" w:cs="Times New Roman"/>
          <w:b/>
          <w:bCs/>
          <w:sz w:val="20"/>
          <w:szCs w:val="20"/>
          <w:lang w:eastAsia="es-MX"/>
        </w:rPr>
        <w:t>Artículo 2</w:t>
      </w:r>
    </w:p>
    <w:p w:rsidR="00601DBA" w:rsidRPr="00601DBA" w:rsidRDefault="00601DBA" w:rsidP="00601DB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2P1"/>
      <w:bookmarkEnd w:id="2"/>
      <w:r w:rsidRPr="00601DBA">
        <w:rPr>
          <w:rFonts w:ascii="Times New Roman" w:eastAsia="Times New Roman" w:hAnsi="Times New Roman" w:cs="Times New Roman"/>
          <w:sz w:val="24"/>
          <w:szCs w:val="24"/>
          <w:lang w:eastAsia="es-MX"/>
        </w:rPr>
        <w:t>1. Todo Miembro deberá, empleando medios adaptados a los métodos vigentes de fijación de tasas de remuneración, promover y, en la medida en que sea compatible con dichos métodos, garantizar la aplicación a todos los trabajadores del principio de igualdad de remuneración entre la mano de obra masculina y la mano de obra femenina por un trabajo de igual valor.</w:t>
      </w:r>
    </w:p>
    <w:p w:rsidR="00601DBA" w:rsidRPr="00601DBA" w:rsidRDefault="00601DBA" w:rsidP="00601DB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2P2"/>
      <w:bookmarkEnd w:id="3"/>
      <w:r w:rsidRPr="00601DBA">
        <w:rPr>
          <w:rFonts w:ascii="Times New Roman" w:eastAsia="Times New Roman" w:hAnsi="Times New Roman" w:cs="Times New Roman"/>
          <w:sz w:val="24"/>
          <w:szCs w:val="24"/>
          <w:lang w:eastAsia="es-MX"/>
        </w:rPr>
        <w:t xml:space="preserve">2. Este principio se deberá aplicar sea por medio de: </w:t>
      </w:r>
    </w:p>
    <w:p w:rsidR="00601DBA" w:rsidRPr="00601DBA" w:rsidRDefault="00601DBA" w:rsidP="00601DB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(a) la legislación nacional;</w:t>
      </w:r>
    </w:p>
    <w:p w:rsidR="00601DBA" w:rsidRPr="00601DBA" w:rsidRDefault="00601DBA" w:rsidP="00601DB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(b) cualquier sistema para la fijación de la remuneración, establecido o reconocido por la legislación;</w:t>
      </w:r>
    </w:p>
    <w:p w:rsidR="00601DBA" w:rsidRPr="00601DBA" w:rsidRDefault="00601DBA" w:rsidP="00601DB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(c) contratos colectivos celebrados entre empleadores y trabajadores; o</w:t>
      </w:r>
    </w:p>
    <w:p w:rsidR="00601DBA" w:rsidRDefault="00601DBA" w:rsidP="00601DB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(d) la acción conjunta de estos diversos medios.</w:t>
      </w:r>
    </w:p>
    <w:p w:rsidR="00601DBA" w:rsidRPr="00601DBA" w:rsidRDefault="00601DBA" w:rsidP="00601DBA">
      <w:pPr>
        <w:spacing w:before="100" w:beforeAutospacing="1" w:after="100" w:afterAutospacing="1" w:line="240" w:lineRule="auto"/>
        <w:ind w:left="720"/>
        <w:jc w:val="both"/>
        <w:rPr>
          <w:rFonts w:ascii="Times New Roman" w:eastAsia="Times New Roman" w:hAnsi="Times New Roman" w:cs="Times New Roman"/>
          <w:sz w:val="24"/>
          <w:szCs w:val="24"/>
          <w:lang w:eastAsia="es-MX"/>
        </w:rPr>
      </w:pP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 w:name="A3"/>
      <w:bookmarkEnd w:id="4"/>
      <w:r w:rsidRPr="00601DBA">
        <w:rPr>
          <w:rFonts w:ascii="Times New Roman" w:eastAsia="Times New Roman" w:hAnsi="Times New Roman" w:cs="Times New Roman"/>
          <w:b/>
          <w:bCs/>
          <w:sz w:val="20"/>
          <w:szCs w:val="20"/>
          <w:lang w:eastAsia="es-MX"/>
        </w:rPr>
        <w:lastRenderedPageBreak/>
        <w:t>Artículo 3</w:t>
      </w:r>
    </w:p>
    <w:p w:rsidR="00601DBA" w:rsidRPr="00601DBA" w:rsidRDefault="00601DBA" w:rsidP="00601D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3P1"/>
      <w:bookmarkEnd w:id="5"/>
      <w:r w:rsidRPr="00601DBA">
        <w:rPr>
          <w:rFonts w:ascii="Times New Roman" w:eastAsia="Times New Roman" w:hAnsi="Times New Roman" w:cs="Times New Roman"/>
          <w:sz w:val="24"/>
          <w:szCs w:val="24"/>
          <w:lang w:eastAsia="es-MX"/>
        </w:rPr>
        <w:t>1. Se deberán adoptar medidas para promover la evaluación objetiva del empleo, tomando como base los trabajos que éste entrañe, cuando la índole de dichas medidas facilite la aplicación del presente Convenio.</w:t>
      </w:r>
    </w:p>
    <w:p w:rsidR="00601DBA" w:rsidRPr="00601DBA" w:rsidRDefault="00601DBA" w:rsidP="00601D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3P2"/>
      <w:bookmarkEnd w:id="6"/>
      <w:r w:rsidRPr="00601DBA">
        <w:rPr>
          <w:rFonts w:ascii="Times New Roman" w:eastAsia="Times New Roman" w:hAnsi="Times New Roman" w:cs="Times New Roman"/>
          <w:sz w:val="24"/>
          <w:szCs w:val="24"/>
          <w:lang w:eastAsia="es-MX"/>
        </w:rPr>
        <w:t>2. Los métodos que se adopten para esta evaluación podrán ser decididos por las autoridades competentes en lo que concierne a la fijación de las tasas de remuneración, o cuando dichas tasas se fijen por contratos colectivos, por las partes contratantes.</w:t>
      </w:r>
    </w:p>
    <w:p w:rsidR="00601DBA" w:rsidRPr="00601DBA" w:rsidRDefault="00601DBA" w:rsidP="00601D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 w:name="A3P3"/>
      <w:bookmarkEnd w:id="7"/>
      <w:r w:rsidRPr="00601DBA">
        <w:rPr>
          <w:rFonts w:ascii="Times New Roman" w:eastAsia="Times New Roman" w:hAnsi="Times New Roman" w:cs="Times New Roman"/>
          <w:sz w:val="24"/>
          <w:szCs w:val="24"/>
          <w:lang w:eastAsia="es-MX"/>
        </w:rPr>
        <w:t>3. Las diferencias entre las tasas de remuneración que correspondan, independientemente del sexo, a diferencias que resulten de dicha evaluación objetiva de los trabajos que han de efectuarse, no deberán considerarse contrarias al principio de igualdad de remuneración entre la mano de obra masculina y la mano de obra femenina por un trabajo de igual valor.</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 w:name="A4"/>
      <w:bookmarkEnd w:id="8"/>
      <w:r w:rsidRPr="00601DBA">
        <w:rPr>
          <w:rFonts w:ascii="Times New Roman" w:eastAsia="Times New Roman" w:hAnsi="Times New Roman" w:cs="Times New Roman"/>
          <w:b/>
          <w:bCs/>
          <w:sz w:val="20"/>
          <w:szCs w:val="20"/>
          <w:lang w:eastAsia="es-MX"/>
        </w:rPr>
        <w:t>Artículo 4</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Todo Miembro deberá colaborar con las organizaciones interesadas de empleadores y de trabajadores, en la forma que estime más conveniente, a fin de aplicar las disposiciones del presente Convenio.</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9" w:name="A5"/>
      <w:bookmarkEnd w:id="9"/>
      <w:r w:rsidRPr="00601DBA">
        <w:rPr>
          <w:rFonts w:ascii="Times New Roman" w:eastAsia="Times New Roman" w:hAnsi="Times New Roman" w:cs="Times New Roman"/>
          <w:b/>
          <w:bCs/>
          <w:sz w:val="20"/>
          <w:szCs w:val="20"/>
          <w:lang w:eastAsia="es-MX"/>
        </w:rPr>
        <w:t>Artículo 5</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Las ratificaciones formales del presente Convenio serán comunicadas, para su registro, al Director General de la Oficina Internacional del Trabajo.</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0" w:name="A6"/>
      <w:bookmarkEnd w:id="10"/>
      <w:r w:rsidRPr="00601DBA">
        <w:rPr>
          <w:rFonts w:ascii="Times New Roman" w:eastAsia="Times New Roman" w:hAnsi="Times New Roman" w:cs="Times New Roman"/>
          <w:b/>
          <w:bCs/>
          <w:sz w:val="20"/>
          <w:szCs w:val="20"/>
          <w:lang w:eastAsia="es-MX"/>
        </w:rPr>
        <w:t>Artículo 6</w:t>
      </w:r>
    </w:p>
    <w:p w:rsidR="00601DBA" w:rsidRPr="00601DBA" w:rsidRDefault="00601DBA" w:rsidP="00601DB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1" w:name="A6P1"/>
      <w:bookmarkEnd w:id="11"/>
      <w:r w:rsidRPr="00601DBA">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w:t>
      </w:r>
    </w:p>
    <w:p w:rsidR="00601DBA" w:rsidRPr="00601DBA" w:rsidRDefault="00601DBA" w:rsidP="00601DB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2" w:name="A6P2"/>
      <w:bookmarkEnd w:id="12"/>
      <w:r w:rsidRPr="00601DBA">
        <w:rPr>
          <w:rFonts w:ascii="Times New Roman" w:eastAsia="Times New Roman" w:hAnsi="Times New Roman" w:cs="Times New Roman"/>
          <w:sz w:val="24"/>
          <w:szCs w:val="24"/>
          <w:lang w:eastAsia="es-MX"/>
        </w:rPr>
        <w:t>2. Entrará en vigor doce meses después de la fecha en que las ratificaciones de dos Miembros hayan sido registradas por el Director General.</w:t>
      </w:r>
    </w:p>
    <w:p w:rsidR="00601DBA" w:rsidRPr="00601DBA" w:rsidRDefault="00601DBA" w:rsidP="00601DB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3" w:name="A6P3"/>
      <w:bookmarkEnd w:id="13"/>
      <w:r w:rsidRPr="00601DBA">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7"/>
      <w:bookmarkEnd w:id="14"/>
      <w:r w:rsidRPr="00601DBA">
        <w:rPr>
          <w:rFonts w:ascii="Times New Roman" w:eastAsia="Times New Roman" w:hAnsi="Times New Roman" w:cs="Times New Roman"/>
          <w:b/>
          <w:bCs/>
          <w:sz w:val="20"/>
          <w:szCs w:val="20"/>
          <w:lang w:eastAsia="es-MX"/>
        </w:rPr>
        <w:t>Artículo 7</w:t>
      </w:r>
    </w:p>
    <w:p w:rsidR="00601DBA" w:rsidRPr="00601DBA" w:rsidRDefault="00601DBA" w:rsidP="00601DB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7P1"/>
      <w:bookmarkEnd w:id="15"/>
      <w:r w:rsidRPr="00601DBA">
        <w:rPr>
          <w:rFonts w:ascii="Times New Roman" w:eastAsia="Times New Roman" w:hAnsi="Times New Roman" w:cs="Times New Roman"/>
          <w:sz w:val="24"/>
          <w:szCs w:val="24"/>
          <w:lang w:eastAsia="es-MX"/>
        </w:rPr>
        <w:t xml:space="preserve">1. Las declaraciones comunicadas al Director General de la Oficina Internacional del Trabajo, de acuerdo con el párrafo 2 del artículo 35 de la Constitución de la Organización Internacional del Trabajo, deberán indicar: </w:t>
      </w:r>
    </w:p>
    <w:p w:rsidR="00601DBA" w:rsidRPr="00601DBA" w:rsidRDefault="00601DBA" w:rsidP="00601DB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(a) los territorios respecto de los cuales el Miembro interesado se obliga a que las disposiciones del Convenio sean aplicadas sin modificaciones;</w:t>
      </w:r>
    </w:p>
    <w:p w:rsidR="00601DBA" w:rsidRPr="00601DBA" w:rsidRDefault="00601DBA" w:rsidP="00601DB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(b) los territorios respecto de los cuales se obliga a que las disposiciones del Convenio sean aplicadas con modificaciones, junto con los detalles de dichas modificaciones;</w:t>
      </w:r>
    </w:p>
    <w:p w:rsidR="00601DBA" w:rsidRPr="00601DBA" w:rsidRDefault="00601DBA" w:rsidP="00601DB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(c) los territorios respecto de los cuales sea inaplicable el Convenio y los motivos por los cuales sea inaplicable;</w:t>
      </w:r>
    </w:p>
    <w:p w:rsidR="00601DBA" w:rsidRPr="00601DBA" w:rsidRDefault="00601DBA" w:rsidP="00601DBA">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(d) los territorios respecto de los cuales reserva su decisión en espera de un examen más detenido de su situación.</w:t>
      </w:r>
    </w:p>
    <w:p w:rsidR="00601DBA" w:rsidRPr="00601DBA" w:rsidRDefault="00601DBA" w:rsidP="00601DB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6" w:name="A7P2"/>
      <w:bookmarkEnd w:id="16"/>
      <w:r w:rsidRPr="00601DBA">
        <w:rPr>
          <w:rFonts w:ascii="Times New Roman" w:eastAsia="Times New Roman" w:hAnsi="Times New Roman" w:cs="Times New Roman"/>
          <w:sz w:val="24"/>
          <w:szCs w:val="24"/>
          <w:lang w:eastAsia="es-MX"/>
        </w:rPr>
        <w:t>2. Las obligaciones a que se refieren los apartados a) y b) del párrafo 1 de este artículo se considerarán parte integrante de la ratificación y producirán sus mismos efectos.</w:t>
      </w:r>
    </w:p>
    <w:p w:rsidR="00601DBA" w:rsidRPr="00601DBA" w:rsidRDefault="00601DBA" w:rsidP="00601DB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7" w:name="A7P3"/>
      <w:bookmarkEnd w:id="17"/>
      <w:r w:rsidRPr="00601DBA">
        <w:rPr>
          <w:rFonts w:ascii="Times New Roman" w:eastAsia="Times New Roman" w:hAnsi="Times New Roman" w:cs="Times New Roman"/>
          <w:sz w:val="24"/>
          <w:szCs w:val="24"/>
          <w:lang w:eastAsia="es-MX"/>
        </w:rPr>
        <w:lastRenderedPageBreak/>
        <w:t>3. Todo Miembro podrá renunciar, total o parcialmente, por medio de una nueva declaración, a cualquier reserva formulada en su primera declaración en virtud de los apartados b), c) o d) del párrafo 1 de este artículo.</w:t>
      </w:r>
    </w:p>
    <w:p w:rsidR="00601DBA" w:rsidRPr="00601DBA" w:rsidRDefault="00601DBA" w:rsidP="00601DB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7P4"/>
      <w:bookmarkEnd w:id="18"/>
      <w:r w:rsidRPr="00601DBA">
        <w:rPr>
          <w:rFonts w:ascii="Times New Roman" w:eastAsia="Times New Roman" w:hAnsi="Times New Roman" w:cs="Times New Roman"/>
          <w:sz w:val="24"/>
          <w:szCs w:val="24"/>
          <w:lang w:eastAsia="es-MX"/>
        </w:rPr>
        <w:t>4. Durante los períodos en que este Convenio pueda ser denunciado de conformidad con las disposiciones del artículo 9, todo Miembro podrá comunicar al Director General una declaración por la que modifique, en cualquier otro respecto, los términos de cualquier declaración anterior y en la que indique la situación en territorios determinados.</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9" w:name="A8"/>
      <w:bookmarkEnd w:id="19"/>
      <w:r w:rsidRPr="00601DBA">
        <w:rPr>
          <w:rFonts w:ascii="Times New Roman" w:eastAsia="Times New Roman" w:hAnsi="Times New Roman" w:cs="Times New Roman"/>
          <w:b/>
          <w:bCs/>
          <w:sz w:val="20"/>
          <w:szCs w:val="20"/>
          <w:lang w:eastAsia="es-MX"/>
        </w:rPr>
        <w:t>Artículo 8</w:t>
      </w:r>
    </w:p>
    <w:p w:rsidR="00601DBA" w:rsidRPr="00601DBA" w:rsidRDefault="00601DBA" w:rsidP="00601DB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0" w:name="A8P1"/>
      <w:bookmarkEnd w:id="20"/>
      <w:r w:rsidRPr="00601DBA">
        <w:rPr>
          <w:rFonts w:ascii="Times New Roman" w:eastAsia="Times New Roman" w:hAnsi="Times New Roman" w:cs="Times New Roman"/>
          <w:sz w:val="24"/>
          <w:szCs w:val="24"/>
          <w:lang w:eastAsia="es-MX"/>
        </w:rPr>
        <w:t>1. Las declaraciones comunicadas al Director General de la Oficina Internacional del Trabajo, de conformidad con los párrafos 4 y 5 del artículo 35 de la Constitución de la Organización Internacional del Trabajo, deberán indicar si las disposiciones del Convenio serán aplicadas en el territorio interesado con modificaciones o sin ellas; cuando la declaración indique que las disposiciones del Convenio serán aplicadas con modificaciones, deberá especificar en qué consisten dichas modificaciones.</w:t>
      </w:r>
    </w:p>
    <w:p w:rsidR="00601DBA" w:rsidRPr="00601DBA" w:rsidRDefault="00601DBA" w:rsidP="00601DB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8P2"/>
      <w:bookmarkEnd w:id="21"/>
      <w:r w:rsidRPr="00601DBA">
        <w:rPr>
          <w:rFonts w:ascii="Times New Roman" w:eastAsia="Times New Roman" w:hAnsi="Times New Roman" w:cs="Times New Roman"/>
          <w:sz w:val="24"/>
          <w:szCs w:val="24"/>
          <w:lang w:eastAsia="es-MX"/>
        </w:rPr>
        <w:t>2. El Miembro, los Miembros o la autoridad internacional interesados podrán renunciar, total o parcialmente, por medio de una declaración ulterior, al derecho a invocar una modificación indicada en cualquier otra declaración anterior.</w:t>
      </w:r>
    </w:p>
    <w:p w:rsidR="00601DBA" w:rsidRPr="00601DBA" w:rsidRDefault="00601DBA" w:rsidP="00601DB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2" w:name="A8P3"/>
      <w:bookmarkEnd w:id="22"/>
      <w:r w:rsidRPr="00601DBA">
        <w:rPr>
          <w:rFonts w:ascii="Times New Roman" w:eastAsia="Times New Roman" w:hAnsi="Times New Roman" w:cs="Times New Roman"/>
          <w:sz w:val="24"/>
          <w:szCs w:val="24"/>
          <w:lang w:eastAsia="es-MX"/>
        </w:rPr>
        <w:t>3. Durante los períodos en que este Convenio pueda ser denunciado de conformidad con las disposiciones del artículo 9, el Miembro, los Miembros o la autoridad internacional interesados podrán comunicar al Director General una declaración por la que modifiquen, en cualquier otro respecto, los términos de cualquier declaración anterior y en la que indiquen la situación en lo que se refiere a la aplicación del Convenio.</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9"/>
      <w:bookmarkEnd w:id="23"/>
      <w:r w:rsidRPr="00601DBA">
        <w:rPr>
          <w:rFonts w:ascii="Times New Roman" w:eastAsia="Times New Roman" w:hAnsi="Times New Roman" w:cs="Times New Roman"/>
          <w:b/>
          <w:bCs/>
          <w:sz w:val="20"/>
          <w:szCs w:val="20"/>
          <w:lang w:eastAsia="es-MX"/>
        </w:rPr>
        <w:t>Artículo 9</w:t>
      </w:r>
    </w:p>
    <w:p w:rsidR="00601DBA" w:rsidRPr="00601DBA" w:rsidRDefault="00601DBA" w:rsidP="00601DB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4" w:name="A9P1"/>
      <w:bookmarkEnd w:id="24"/>
      <w:r w:rsidRPr="00601DBA">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601DBA" w:rsidRPr="00601DBA" w:rsidRDefault="00601DBA" w:rsidP="00601DB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5" w:name="A9P2"/>
      <w:bookmarkEnd w:id="25"/>
      <w:r w:rsidRPr="00601DBA">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6" w:name="A10"/>
      <w:bookmarkEnd w:id="26"/>
      <w:r w:rsidRPr="00601DBA">
        <w:rPr>
          <w:rFonts w:ascii="Times New Roman" w:eastAsia="Times New Roman" w:hAnsi="Times New Roman" w:cs="Times New Roman"/>
          <w:b/>
          <w:bCs/>
          <w:sz w:val="20"/>
          <w:szCs w:val="20"/>
          <w:lang w:eastAsia="es-MX"/>
        </w:rPr>
        <w:t>Artículo 10</w:t>
      </w:r>
    </w:p>
    <w:p w:rsidR="00601DBA" w:rsidRPr="00601DBA" w:rsidRDefault="00601DBA" w:rsidP="00601DB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7" w:name="A10P1"/>
      <w:bookmarkEnd w:id="27"/>
      <w:r w:rsidRPr="00601DBA">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denuncias le comuniquen los Miembros de la Organización.</w:t>
      </w:r>
    </w:p>
    <w:p w:rsidR="00601DBA" w:rsidRDefault="00601DBA" w:rsidP="00601DB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8" w:name="A10P2"/>
      <w:bookmarkEnd w:id="28"/>
      <w:r w:rsidRPr="00601DBA">
        <w:rPr>
          <w:rFonts w:ascii="Times New Roman" w:eastAsia="Times New Roman" w:hAnsi="Times New Roman" w:cs="Times New Roman"/>
          <w:sz w:val="24"/>
          <w:szCs w:val="24"/>
          <w:lang w:eastAsia="es-MX"/>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9" w:name="_GoBack"/>
      <w:bookmarkEnd w:id="29"/>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0" w:name="A11"/>
      <w:bookmarkEnd w:id="30"/>
      <w:r w:rsidRPr="00601DBA">
        <w:rPr>
          <w:rFonts w:ascii="Times New Roman" w:eastAsia="Times New Roman" w:hAnsi="Times New Roman" w:cs="Times New Roman"/>
          <w:b/>
          <w:bCs/>
          <w:sz w:val="20"/>
          <w:szCs w:val="20"/>
          <w:lang w:eastAsia="es-MX"/>
        </w:rPr>
        <w:lastRenderedPageBreak/>
        <w:t>Artículo 11</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1" w:name="A12"/>
      <w:bookmarkEnd w:id="31"/>
      <w:r w:rsidRPr="00601DBA">
        <w:rPr>
          <w:rFonts w:ascii="Times New Roman" w:eastAsia="Times New Roman" w:hAnsi="Times New Roman" w:cs="Times New Roman"/>
          <w:b/>
          <w:bCs/>
          <w:sz w:val="20"/>
          <w:szCs w:val="20"/>
          <w:lang w:eastAsia="es-MX"/>
        </w:rPr>
        <w:t>Artículo 12</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2" w:name="A13"/>
      <w:bookmarkEnd w:id="32"/>
      <w:r w:rsidRPr="00601DBA">
        <w:rPr>
          <w:rFonts w:ascii="Times New Roman" w:eastAsia="Times New Roman" w:hAnsi="Times New Roman" w:cs="Times New Roman"/>
          <w:b/>
          <w:bCs/>
          <w:sz w:val="20"/>
          <w:szCs w:val="20"/>
          <w:lang w:eastAsia="es-MX"/>
        </w:rPr>
        <w:t>Artículo 13</w:t>
      </w:r>
    </w:p>
    <w:p w:rsidR="00601DBA" w:rsidRPr="00601DBA" w:rsidRDefault="00601DBA" w:rsidP="00601DB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3" w:name="A13P1"/>
      <w:bookmarkEnd w:id="33"/>
      <w:r w:rsidRPr="00601DBA">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y a menos que el nuevo convenio contenga disposiciones en contrario: </w:t>
      </w:r>
    </w:p>
    <w:p w:rsidR="00601DBA" w:rsidRPr="00601DBA" w:rsidRDefault="00601DBA" w:rsidP="00601DBA">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9, siempre que el nuevo convenio revisor haya entrado en vigor;</w:t>
      </w:r>
    </w:p>
    <w:p w:rsidR="00601DBA" w:rsidRPr="00601DBA" w:rsidRDefault="00601DBA" w:rsidP="00601DBA">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601DBA" w:rsidRPr="00601DBA" w:rsidRDefault="00601DBA" w:rsidP="00601DB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4" w:name="A13P2"/>
      <w:bookmarkEnd w:id="34"/>
      <w:r w:rsidRPr="00601DBA">
        <w:rPr>
          <w:rFonts w:ascii="Times New Roman" w:eastAsia="Times New Roman" w:hAnsi="Times New Roman" w:cs="Times New Roman"/>
          <w:sz w:val="24"/>
          <w:szCs w:val="24"/>
          <w:lang w:eastAsia="es-MX"/>
        </w:rPr>
        <w:t>2. Este Convenio continuará en vigor en todo caso, en su forma y contenido actuales, para los Miembros que lo hayan ratificado y no ratifiquen el convenio revisor.</w:t>
      </w:r>
    </w:p>
    <w:p w:rsidR="00601DBA" w:rsidRPr="00601DBA" w:rsidRDefault="00601DBA" w:rsidP="00601DBA">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5" w:name="A14"/>
      <w:bookmarkEnd w:id="35"/>
      <w:r w:rsidRPr="00601DBA">
        <w:rPr>
          <w:rFonts w:ascii="Times New Roman" w:eastAsia="Times New Roman" w:hAnsi="Times New Roman" w:cs="Times New Roman"/>
          <w:b/>
          <w:bCs/>
          <w:sz w:val="20"/>
          <w:szCs w:val="20"/>
          <w:lang w:eastAsia="es-MX"/>
        </w:rPr>
        <w:t>Artículo 14</w:t>
      </w:r>
    </w:p>
    <w:p w:rsidR="00601DBA" w:rsidRPr="00601DBA" w:rsidRDefault="00601DBA" w:rsidP="00601DB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01DBA">
        <w:rPr>
          <w:rFonts w:ascii="Times New Roman" w:eastAsia="Times New Roman" w:hAnsi="Times New Roman" w:cs="Times New Roman"/>
          <w:sz w:val="24"/>
          <w:szCs w:val="24"/>
          <w:lang w:eastAsia="es-MX"/>
        </w:rPr>
        <w:t>Las versiones inglesa y francesa del texto de este Convenio son igualmente auténticas.</w:t>
      </w:r>
    </w:p>
    <w:p w:rsidR="00601DBA" w:rsidRPr="00601DBA" w:rsidRDefault="00601DBA" w:rsidP="00601DB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p>
    <w:p w:rsidR="006831E3" w:rsidRDefault="006831E3"/>
    <w:sectPr w:rsidR="006831E3" w:rsidSect="00601DBA">
      <w:pgSz w:w="12240" w:h="15840"/>
      <w:pgMar w:top="1417" w:right="90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1CB2"/>
    <w:multiLevelType w:val="multilevel"/>
    <w:tmpl w:val="349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E3C2E"/>
    <w:multiLevelType w:val="multilevel"/>
    <w:tmpl w:val="00866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C2335"/>
    <w:multiLevelType w:val="multilevel"/>
    <w:tmpl w:val="DDC8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40184"/>
    <w:multiLevelType w:val="multilevel"/>
    <w:tmpl w:val="CCD2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50C15"/>
    <w:multiLevelType w:val="multilevel"/>
    <w:tmpl w:val="673E2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8A2716"/>
    <w:multiLevelType w:val="multilevel"/>
    <w:tmpl w:val="4B70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765ED"/>
    <w:multiLevelType w:val="multilevel"/>
    <w:tmpl w:val="0F547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C4F7A"/>
    <w:multiLevelType w:val="multilevel"/>
    <w:tmpl w:val="6830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E836B2"/>
    <w:multiLevelType w:val="multilevel"/>
    <w:tmpl w:val="0BA2C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7"/>
  </w:num>
  <w:num w:numId="5">
    <w:abstractNumId w:val="8"/>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BA"/>
    <w:rsid w:val="00601DBA"/>
    <w:rsid w:val="00683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6468A-080F-4712-A728-F925018E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417147">
      <w:bodyDiv w:val="1"/>
      <w:marLeft w:val="0"/>
      <w:marRight w:val="0"/>
      <w:marTop w:val="0"/>
      <w:marBottom w:val="0"/>
      <w:divBdr>
        <w:top w:val="none" w:sz="0" w:space="0" w:color="auto"/>
        <w:left w:val="none" w:sz="0" w:space="0" w:color="auto"/>
        <w:bottom w:val="none" w:sz="0" w:space="0" w:color="auto"/>
        <w:right w:val="none" w:sz="0" w:space="0" w:color="auto"/>
      </w:divBdr>
    </w:div>
    <w:div w:id="1829443735">
      <w:bodyDiv w:val="1"/>
      <w:marLeft w:val="0"/>
      <w:marRight w:val="0"/>
      <w:marTop w:val="0"/>
      <w:marBottom w:val="0"/>
      <w:divBdr>
        <w:top w:val="none" w:sz="0" w:space="0" w:color="auto"/>
        <w:left w:val="none" w:sz="0" w:space="0" w:color="auto"/>
        <w:bottom w:val="none" w:sz="0" w:space="0" w:color="auto"/>
        <w:right w:val="none" w:sz="0" w:space="0" w:color="auto"/>
      </w:divBdr>
      <w:divsChild>
        <w:div w:id="96149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1429</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2020-05-28T05:22:00Z</dcterms:created>
  <dcterms:modified xsi:type="dcterms:W3CDTF">2020-05-28T05:25:00Z</dcterms:modified>
</cp:coreProperties>
</file>