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23" w:rsidRDefault="00F40C23" w:rsidP="00F40C2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F40C23">
        <w:rPr>
          <w:rFonts w:ascii="Times New Roman" w:eastAsia="Times New Roman" w:hAnsi="Times New Roman" w:cs="Times New Roman"/>
          <w:b/>
          <w:bCs/>
          <w:kern w:val="36"/>
          <w:sz w:val="48"/>
          <w:szCs w:val="48"/>
          <w:lang w:eastAsia="es-MX"/>
        </w:rPr>
        <w:t>C098 - Convenio sobre el derecho de sindicación y de negociación colectiva, 1949 (núm. 98)</w:t>
      </w:r>
    </w:p>
    <w:p w:rsidR="00F40C23" w:rsidRPr="00F40C23" w:rsidRDefault="00F40C23" w:rsidP="00F40C23">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F40C23">
        <w:rPr>
          <w:rFonts w:ascii="Times New Roman" w:eastAsia="Times New Roman" w:hAnsi="Times New Roman" w:cs="Times New Roman"/>
          <w:b/>
          <w:bCs/>
          <w:sz w:val="36"/>
          <w:szCs w:val="36"/>
          <w:lang w:eastAsia="es-MX"/>
        </w:rPr>
        <w:t xml:space="preserve">Preámbulo </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La Conferencia General de la Organización Internacional del Trabajo:</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Convocada en Ginebra por el Consejo de Administración de la Oficina Internacional del Trabajo, y congregada en dicha ciudad el 8 junio 1949 en su trigésima segunda reunión;</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Después de haber decidido adoptar diversas proposiciones relativas a la aplicación de los principios del derecho de sindicación y de negociación colectiva, cuestión que constituye el cuarto punto del orden del día de la reunión, y</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F40C23">
        <w:rPr>
          <w:rFonts w:ascii="Times New Roman" w:eastAsia="Times New Roman" w:hAnsi="Times New Roman" w:cs="Times New Roman"/>
          <w:sz w:val="24"/>
          <w:szCs w:val="24"/>
          <w:lang w:eastAsia="es-MX"/>
        </w:rPr>
        <w:t>adopta, con fecha primero de julio de mil novecientos cuarenta y nueve, el siguiente Convenio, que podrá ser citado como el Convenio sobre el derecho de sindicación y de negociación colectiva, 1949:</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0" w:name="A1"/>
      <w:bookmarkEnd w:id="0"/>
      <w:r w:rsidRPr="00F40C23">
        <w:rPr>
          <w:rFonts w:ascii="Times New Roman" w:eastAsia="Times New Roman" w:hAnsi="Times New Roman" w:cs="Times New Roman"/>
          <w:b/>
          <w:bCs/>
          <w:sz w:val="20"/>
          <w:szCs w:val="20"/>
          <w:lang w:eastAsia="es-MX"/>
        </w:rPr>
        <w:t>Artículo 1</w:t>
      </w:r>
    </w:p>
    <w:p w:rsidR="00F40C23" w:rsidRPr="00F40C23" w:rsidRDefault="00F40C23" w:rsidP="00F40C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 w:name="A1P1"/>
      <w:bookmarkEnd w:id="1"/>
      <w:r w:rsidRPr="00F40C23">
        <w:rPr>
          <w:rFonts w:ascii="Times New Roman" w:eastAsia="Times New Roman" w:hAnsi="Times New Roman" w:cs="Times New Roman"/>
          <w:sz w:val="24"/>
          <w:szCs w:val="24"/>
          <w:lang w:eastAsia="es-MX"/>
        </w:rPr>
        <w:t>1. Los trabajadores deberán gozar de adecuada protección contra todo acto de discriminación tendiente a menoscabar la libertad sindical en relación con su empleo.</w:t>
      </w:r>
    </w:p>
    <w:p w:rsidR="00F40C23" w:rsidRPr="00F40C23" w:rsidRDefault="00F40C23" w:rsidP="00F40C2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1P2"/>
      <w:bookmarkEnd w:id="2"/>
      <w:r w:rsidRPr="00F40C23">
        <w:rPr>
          <w:rFonts w:ascii="Times New Roman" w:eastAsia="Times New Roman" w:hAnsi="Times New Roman" w:cs="Times New Roman"/>
          <w:sz w:val="24"/>
          <w:szCs w:val="24"/>
          <w:lang w:eastAsia="es-MX"/>
        </w:rPr>
        <w:t xml:space="preserve">2. Dicha protección deberá ejercerse especialmente contra todo acto que tenga por objeto: </w:t>
      </w:r>
    </w:p>
    <w:p w:rsidR="00F40C23" w:rsidRPr="00F40C23" w:rsidRDefault="00F40C23" w:rsidP="00F40C2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(a) sujetar el empleo de un trabajador a la condición de que no se afilie a un sindicato o a la de dejar de ser miembro de un sindicato;</w:t>
      </w:r>
    </w:p>
    <w:p w:rsidR="00F40C23" w:rsidRPr="00F40C23" w:rsidRDefault="00F40C23" w:rsidP="00F40C23">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(b) despedir a un trabajador o perjudicarlo en cualquier otra forma a causa de su afiliación sindical o de su participación en actividades sindicales fuera de las horas de trabajo o, con el consentimiento del empleador, durante las horas de trabajo.</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 w:name="A2"/>
      <w:bookmarkEnd w:id="3"/>
      <w:r w:rsidRPr="00F40C23">
        <w:rPr>
          <w:rFonts w:ascii="Times New Roman" w:eastAsia="Times New Roman" w:hAnsi="Times New Roman" w:cs="Times New Roman"/>
          <w:b/>
          <w:bCs/>
          <w:sz w:val="20"/>
          <w:szCs w:val="20"/>
          <w:lang w:eastAsia="es-MX"/>
        </w:rPr>
        <w:t>Artículo 2</w:t>
      </w:r>
    </w:p>
    <w:p w:rsidR="00F40C23" w:rsidRPr="00F40C23" w:rsidRDefault="00F40C23" w:rsidP="00F40C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2P1"/>
      <w:bookmarkEnd w:id="4"/>
      <w:r w:rsidRPr="00F40C23">
        <w:rPr>
          <w:rFonts w:ascii="Times New Roman" w:eastAsia="Times New Roman" w:hAnsi="Times New Roman" w:cs="Times New Roman"/>
          <w:sz w:val="24"/>
          <w:szCs w:val="24"/>
          <w:lang w:eastAsia="es-MX"/>
        </w:rPr>
        <w:t>1. Las organizaciones de trabajadores y de empleadores deberán gozar de adecuada protección contra todo acto de injerencia de unas respecto de las otras, ya se realice directamente o por medio de sus agentes o miembros, en su constitución, funcionamiento o administración.</w:t>
      </w:r>
    </w:p>
    <w:p w:rsidR="00F40C23" w:rsidRPr="00F40C23" w:rsidRDefault="00F40C23" w:rsidP="00F40C2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5" w:name="A2P2"/>
      <w:bookmarkEnd w:id="5"/>
      <w:r w:rsidRPr="00F40C23">
        <w:rPr>
          <w:rFonts w:ascii="Times New Roman" w:eastAsia="Times New Roman" w:hAnsi="Times New Roman" w:cs="Times New Roman"/>
          <w:sz w:val="24"/>
          <w:szCs w:val="24"/>
          <w:lang w:eastAsia="es-MX"/>
        </w:rPr>
        <w:t>2. Se consideran actos de injerencia, en el sentido del presente artículo, principalmente, las medidas que tiendan a fomentar la constitución de organizaciones de trabajadores dominadas por un empleador o una organización de empleadores, o a sostener económicamente, o en otra forma, organizaciones de trabajadores, con objeto de colocar estas organizaciones bajo el control de un empleador o de una organización de empleadores.</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6" w:name="A3"/>
      <w:bookmarkEnd w:id="6"/>
      <w:r w:rsidRPr="00F40C23">
        <w:rPr>
          <w:rFonts w:ascii="Times New Roman" w:eastAsia="Times New Roman" w:hAnsi="Times New Roman" w:cs="Times New Roman"/>
          <w:b/>
          <w:bCs/>
          <w:sz w:val="20"/>
          <w:szCs w:val="20"/>
          <w:lang w:eastAsia="es-MX"/>
        </w:rPr>
        <w:t>Artículo 3</w:t>
      </w:r>
    </w:p>
    <w:p w:rsid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Deberán crearse organismos adecuados a las condiciones nacionales, cuando ello sea necesario, para garantizar el respeto al derecho de sindicación definido en los artículos precedentes.</w:t>
      </w:r>
      <w:bookmarkStart w:id="7" w:name="A4"/>
      <w:bookmarkEnd w:id="7"/>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 w:name="_GoBack"/>
      <w:bookmarkEnd w:id="8"/>
      <w:r w:rsidRPr="00F40C23">
        <w:rPr>
          <w:rFonts w:ascii="Times New Roman" w:eastAsia="Times New Roman" w:hAnsi="Times New Roman" w:cs="Times New Roman"/>
          <w:b/>
          <w:bCs/>
          <w:sz w:val="20"/>
          <w:szCs w:val="20"/>
          <w:lang w:eastAsia="es-MX"/>
        </w:rPr>
        <w:lastRenderedPageBreak/>
        <w:t>Artículo 4</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Deberán adoptarse medidas adecuadas a las condiciones nacionales, cuando ello sea necesario, para estimular y fomentar entre los empleadores y las organizaciones de empleadores, por una parte, y las organizaciones de trabajadores, por otra, el pleno desarrollo y uso de procedimientos de negociación voluntaria, con objeto de reglamentar, por medio de contratos colectivos, las condiciones de empleo.</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9" w:name="A5"/>
      <w:bookmarkEnd w:id="9"/>
      <w:r w:rsidRPr="00F40C23">
        <w:rPr>
          <w:rFonts w:ascii="Times New Roman" w:eastAsia="Times New Roman" w:hAnsi="Times New Roman" w:cs="Times New Roman"/>
          <w:b/>
          <w:bCs/>
          <w:sz w:val="20"/>
          <w:szCs w:val="20"/>
          <w:lang w:eastAsia="es-MX"/>
        </w:rPr>
        <w:t>Artículo 5</w:t>
      </w:r>
    </w:p>
    <w:p w:rsidR="00F40C23" w:rsidRPr="00F40C23" w:rsidRDefault="00F40C23" w:rsidP="00F40C2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0" w:name="A5P1"/>
      <w:bookmarkEnd w:id="10"/>
      <w:r w:rsidRPr="00F40C23">
        <w:rPr>
          <w:rFonts w:ascii="Times New Roman" w:eastAsia="Times New Roman" w:hAnsi="Times New Roman" w:cs="Times New Roman"/>
          <w:sz w:val="24"/>
          <w:szCs w:val="24"/>
          <w:lang w:eastAsia="es-MX"/>
        </w:rPr>
        <w:t>1. La legislación nacional deberá determinar el alcance de las garantías previstas en el presente Convenio en lo que se refiere a su aplicación a las fuerzas armadas y a la policía.</w:t>
      </w:r>
    </w:p>
    <w:p w:rsidR="00F40C23" w:rsidRPr="00F40C23" w:rsidRDefault="00F40C23" w:rsidP="00F40C2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1" w:name="A5P2"/>
      <w:bookmarkEnd w:id="11"/>
      <w:r w:rsidRPr="00F40C23">
        <w:rPr>
          <w:rFonts w:ascii="Times New Roman" w:eastAsia="Times New Roman" w:hAnsi="Times New Roman" w:cs="Times New Roman"/>
          <w:sz w:val="24"/>
          <w:szCs w:val="24"/>
          <w:lang w:eastAsia="es-MX"/>
        </w:rPr>
        <w:t>2. De acuerdo con los principios establecidos en el párrafo 8 del artículo 19 de la Constitución de la Organización Internacional del Trabajo, la ratificación de este Convenio por un Miembro no podrá considerarse que menoscaba en modo alguno las leyes, sentencias, costumbres o acuerdos ya existentes, que concedan a los miembros de las fuerzas armadas y de la policía las garantías prescritas en este Convenio.</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2" w:name="A6"/>
      <w:bookmarkEnd w:id="12"/>
      <w:r w:rsidRPr="00F40C23">
        <w:rPr>
          <w:rFonts w:ascii="Times New Roman" w:eastAsia="Times New Roman" w:hAnsi="Times New Roman" w:cs="Times New Roman"/>
          <w:b/>
          <w:bCs/>
          <w:sz w:val="20"/>
          <w:szCs w:val="20"/>
          <w:lang w:eastAsia="es-MX"/>
        </w:rPr>
        <w:t>Artículo 6</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El presente Convenio no trata de la situación de los funcionarios públicos en la administración del Estado y no deberá interpretarse, en modo alguno, en menoscabo de sus derechos o de su estatuto.</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3" w:name="A7"/>
      <w:bookmarkEnd w:id="13"/>
      <w:r w:rsidRPr="00F40C23">
        <w:rPr>
          <w:rFonts w:ascii="Times New Roman" w:eastAsia="Times New Roman" w:hAnsi="Times New Roman" w:cs="Times New Roman"/>
          <w:b/>
          <w:bCs/>
          <w:sz w:val="20"/>
          <w:szCs w:val="20"/>
          <w:lang w:eastAsia="es-MX"/>
        </w:rPr>
        <w:t>Artículo 7</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Las ratificaciones formales del presente Convenio serán comunicadas, para su registro, al Director General de la Oficina Internacional del Trabajo.</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8"/>
      <w:bookmarkEnd w:id="14"/>
      <w:r w:rsidRPr="00F40C23">
        <w:rPr>
          <w:rFonts w:ascii="Times New Roman" w:eastAsia="Times New Roman" w:hAnsi="Times New Roman" w:cs="Times New Roman"/>
          <w:b/>
          <w:bCs/>
          <w:sz w:val="20"/>
          <w:szCs w:val="20"/>
          <w:lang w:eastAsia="es-MX"/>
        </w:rPr>
        <w:t>Artículo 8</w:t>
      </w:r>
    </w:p>
    <w:p w:rsidR="00F40C23" w:rsidRPr="00F40C23" w:rsidRDefault="00F40C23" w:rsidP="00F40C2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8P1"/>
      <w:bookmarkEnd w:id="15"/>
      <w:r w:rsidRPr="00F40C23">
        <w:rPr>
          <w:rFonts w:ascii="Times New Roman" w:eastAsia="Times New Roman" w:hAnsi="Times New Roman" w:cs="Times New Roman"/>
          <w:sz w:val="24"/>
          <w:szCs w:val="24"/>
          <w:lang w:eastAsia="es-MX"/>
        </w:rPr>
        <w:t>1. Este Convenio obligará únicamente a aquellos Miembros de la Organización Internacional del Trabajo cuyas ratificaciones haya registrado el Director General.</w:t>
      </w:r>
    </w:p>
    <w:p w:rsidR="00F40C23" w:rsidRPr="00F40C23" w:rsidRDefault="00F40C23" w:rsidP="00F40C2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6" w:name="A8P2"/>
      <w:bookmarkEnd w:id="16"/>
      <w:r w:rsidRPr="00F40C23">
        <w:rPr>
          <w:rFonts w:ascii="Times New Roman" w:eastAsia="Times New Roman" w:hAnsi="Times New Roman" w:cs="Times New Roman"/>
          <w:sz w:val="24"/>
          <w:szCs w:val="24"/>
          <w:lang w:eastAsia="es-MX"/>
        </w:rPr>
        <w:t>2. Entrará en vigor doce meses después de la fecha en que las ratificaciones de dos Miembros hayan sido registradas por el Director General.</w:t>
      </w:r>
    </w:p>
    <w:p w:rsidR="00F40C23" w:rsidRPr="00F40C23" w:rsidRDefault="00F40C23" w:rsidP="00F40C2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7" w:name="A8P3"/>
      <w:bookmarkEnd w:id="17"/>
      <w:r w:rsidRPr="00F40C23">
        <w:rPr>
          <w:rFonts w:ascii="Times New Roman" w:eastAsia="Times New Roman" w:hAnsi="Times New Roman" w:cs="Times New Roman"/>
          <w:sz w:val="24"/>
          <w:szCs w:val="24"/>
          <w:lang w:eastAsia="es-MX"/>
        </w:rPr>
        <w:t>3. Desde dicho momento, este Convenio entrará en vigor, para cada Miembro, doce meses después de la fecha en que haya sido registrada su ratificación.</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8" w:name="A9"/>
      <w:bookmarkEnd w:id="18"/>
      <w:r w:rsidRPr="00F40C23">
        <w:rPr>
          <w:rFonts w:ascii="Times New Roman" w:eastAsia="Times New Roman" w:hAnsi="Times New Roman" w:cs="Times New Roman"/>
          <w:b/>
          <w:bCs/>
          <w:sz w:val="20"/>
          <w:szCs w:val="20"/>
          <w:lang w:eastAsia="es-MX"/>
        </w:rPr>
        <w:t>Artículo 9</w:t>
      </w:r>
    </w:p>
    <w:p w:rsidR="00F40C23" w:rsidRPr="00F40C23" w:rsidRDefault="00F40C23" w:rsidP="00F40C2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9" w:name="A9P1"/>
      <w:bookmarkEnd w:id="19"/>
      <w:r w:rsidRPr="00F40C23">
        <w:rPr>
          <w:rFonts w:ascii="Times New Roman" w:eastAsia="Times New Roman" w:hAnsi="Times New Roman" w:cs="Times New Roman"/>
          <w:sz w:val="24"/>
          <w:szCs w:val="24"/>
          <w:lang w:eastAsia="es-MX"/>
        </w:rPr>
        <w:t xml:space="preserve">1. Las declaraciones comunicadas al Director General de la Oficina Internacional del Trabajo, de acuerdo con el párrafo 2 del artículo 35 de la Constitución de la Organización Internacional del Trabajo, deberán indicar: </w:t>
      </w:r>
    </w:p>
    <w:p w:rsidR="00F40C23" w:rsidRPr="00F40C23" w:rsidRDefault="00F40C23" w:rsidP="00F40C23">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(a) los territorios respecto de los cuales el Miembro interesado se obliga a que las disposiciones del Convenio sean aplicadas sin modificaciones;</w:t>
      </w:r>
    </w:p>
    <w:p w:rsidR="00F40C23" w:rsidRPr="00F40C23" w:rsidRDefault="00F40C23" w:rsidP="00F40C23">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(b) los territorios respecto de los cuales se obliga a que las disposiciones del Convenio sean aplicadas con modificaciones, junto con los detalles de dichas modificaciones;</w:t>
      </w:r>
    </w:p>
    <w:p w:rsidR="00F40C23" w:rsidRPr="00F40C23" w:rsidRDefault="00F40C23" w:rsidP="00F40C23">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(c) los territorios respecto de los cuales es inaplicable el Convenio y los motivos por los cuales es inaplicable;</w:t>
      </w:r>
    </w:p>
    <w:p w:rsidR="00F40C23" w:rsidRPr="00F40C23" w:rsidRDefault="00F40C23" w:rsidP="00F40C23">
      <w:pPr>
        <w:numPr>
          <w:ilvl w:val="1"/>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lastRenderedPageBreak/>
        <w:t>(d) los territorios respecto de los cuales reserva su decisión en espera de un examen más detenido de su situación.</w:t>
      </w:r>
    </w:p>
    <w:p w:rsidR="00F40C23" w:rsidRPr="00F40C23" w:rsidRDefault="00F40C23" w:rsidP="00F40C2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0" w:name="A9P2"/>
      <w:bookmarkEnd w:id="20"/>
      <w:r w:rsidRPr="00F40C23">
        <w:rPr>
          <w:rFonts w:ascii="Times New Roman" w:eastAsia="Times New Roman" w:hAnsi="Times New Roman" w:cs="Times New Roman"/>
          <w:sz w:val="24"/>
          <w:szCs w:val="24"/>
          <w:lang w:eastAsia="es-MX"/>
        </w:rPr>
        <w:t>2. Las obligaciones a que se refieren los apartados a) y b) del párrafo 1 de este artículo se considerarán parte integrante de la ratificación y producirán sus mismos efectos.</w:t>
      </w:r>
    </w:p>
    <w:p w:rsidR="00F40C23" w:rsidRPr="00F40C23" w:rsidRDefault="00F40C23" w:rsidP="00F40C2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1" w:name="A9P3"/>
      <w:bookmarkEnd w:id="21"/>
      <w:r w:rsidRPr="00F40C23">
        <w:rPr>
          <w:rFonts w:ascii="Times New Roman" w:eastAsia="Times New Roman" w:hAnsi="Times New Roman" w:cs="Times New Roman"/>
          <w:sz w:val="24"/>
          <w:szCs w:val="24"/>
          <w:lang w:eastAsia="es-MX"/>
        </w:rPr>
        <w:t>3. Todo Miembro podrá renunciar, total o parcialmente, por medio de una nueva declaración, a cualquier reserva formulada en su primera declaración en virtud de los apartados b), c) o d) del párrafo 1 de este artículo.</w:t>
      </w:r>
    </w:p>
    <w:p w:rsidR="00F40C23" w:rsidRPr="00F40C23" w:rsidRDefault="00F40C23" w:rsidP="00F40C2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2" w:name="A9P4"/>
      <w:bookmarkEnd w:id="22"/>
      <w:r w:rsidRPr="00F40C23">
        <w:rPr>
          <w:rFonts w:ascii="Times New Roman" w:eastAsia="Times New Roman" w:hAnsi="Times New Roman" w:cs="Times New Roman"/>
          <w:sz w:val="24"/>
          <w:szCs w:val="24"/>
          <w:lang w:eastAsia="es-MX"/>
        </w:rPr>
        <w:t>4. Durante los períodos en que este Convenio pueda ser denunciado de conformidad con las disposiciones del artículo 11, todo Miembro podrá comunicar al Director General una declaración por la que modifique, en cualquier otro respecto, los términos de cualquier declaración anterior y en la que indique la situación en territorios determinados.</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10"/>
      <w:bookmarkEnd w:id="23"/>
      <w:r w:rsidRPr="00F40C23">
        <w:rPr>
          <w:rFonts w:ascii="Times New Roman" w:eastAsia="Times New Roman" w:hAnsi="Times New Roman" w:cs="Times New Roman"/>
          <w:b/>
          <w:bCs/>
          <w:sz w:val="20"/>
          <w:szCs w:val="20"/>
          <w:lang w:eastAsia="es-MX"/>
        </w:rPr>
        <w:t>Artículo 10</w:t>
      </w:r>
    </w:p>
    <w:p w:rsidR="00F40C23" w:rsidRPr="00F40C23" w:rsidRDefault="00F40C23" w:rsidP="00F40C2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4" w:name="A10P1"/>
      <w:bookmarkEnd w:id="24"/>
      <w:r w:rsidRPr="00F40C23">
        <w:rPr>
          <w:rFonts w:ascii="Times New Roman" w:eastAsia="Times New Roman" w:hAnsi="Times New Roman" w:cs="Times New Roman"/>
          <w:sz w:val="24"/>
          <w:szCs w:val="24"/>
          <w:lang w:eastAsia="es-MX"/>
        </w:rPr>
        <w:t>1. Las declaraciones comunicadas al Director General de la Oficina Internacional del Trabajo, de conformidad con los párrafos 4 y 5 del artículo 35 de la Constitución de la Organización Internacional del Trabajo, deberán indicar si las disposiciones del Convenio serán aplicadas en el territorio interesado con modificaciones o sin ellas; cuando la declaración indique que las disposiciones del Convenio serán aplicadas con modificaciones, deberá especificar en qué consisten dichas modificaciones.</w:t>
      </w:r>
    </w:p>
    <w:p w:rsidR="00F40C23" w:rsidRPr="00F40C23" w:rsidRDefault="00F40C23" w:rsidP="00F40C2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5" w:name="A10P2"/>
      <w:bookmarkEnd w:id="25"/>
      <w:r w:rsidRPr="00F40C23">
        <w:rPr>
          <w:rFonts w:ascii="Times New Roman" w:eastAsia="Times New Roman" w:hAnsi="Times New Roman" w:cs="Times New Roman"/>
          <w:sz w:val="24"/>
          <w:szCs w:val="24"/>
          <w:lang w:eastAsia="es-MX"/>
        </w:rPr>
        <w:t>2. El Miembro, los Miembros o la autoridad internacional interesados podrán renunciar, total o parcialmente, por medio de una declaración ulterior, al derecho a invocar una modificación indicada en cualquier otra declaración anterior.</w:t>
      </w:r>
    </w:p>
    <w:p w:rsidR="00F40C23" w:rsidRPr="00F40C23" w:rsidRDefault="00F40C23" w:rsidP="00F40C23">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6" w:name="A10P3"/>
      <w:bookmarkEnd w:id="26"/>
      <w:r w:rsidRPr="00F40C23">
        <w:rPr>
          <w:rFonts w:ascii="Times New Roman" w:eastAsia="Times New Roman" w:hAnsi="Times New Roman" w:cs="Times New Roman"/>
          <w:sz w:val="24"/>
          <w:szCs w:val="24"/>
          <w:lang w:eastAsia="es-MX"/>
        </w:rPr>
        <w:t>3. Durante los períodos en que este Convenio puede ser denunciado de conformidad con las disposiciones del artículo 11, el Miembro, los Miembros o la autoridad internacional interesados podrán comunicar al Director General una declaración por la que modifiquen, en cualquier otro respecto, los términos de cualquier declaración anterior y en la que indiquen la situación en lo que se refiere a la aplicación del Convenio.</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7" w:name="A11"/>
      <w:bookmarkEnd w:id="27"/>
      <w:r w:rsidRPr="00F40C23">
        <w:rPr>
          <w:rFonts w:ascii="Times New Roman" w:eastAsia="Times New Roman" w:hAnsi="Times New Roman" w:cs="Times New Roman"/>
          <w:b/>
          <w:bCs/>
          <w:sz w:val="20"/>
          <w:szCs w:val="20"/>
          <w:lang w:eastAsia="es-MX"/>
        </w:rPr>
        <w:t>Artículo 11</w:t>
      </w:r>
    </w:p>
    <w:p w:rsidR="00F40C23" w:rsidRPr="00F40C23" w:rsidRDefault="00F40C23" w:rsidP="00F40C2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8" w:name="A11P1"/>
      <w:bookmarkEnd w:id="28"/>
      <w:r w:rsidRPr="00F40C23">
        <w:rPr>
          <w:rFonts w:ascii="Times New Roman" w:eastAsia="Times New Roman" w:hAnsi="Times New Roman" w:cs="Times New Roman"/>
          <w:sz w:val="24"/>
          <w:szCs w:val="24"/>
          <w:lang w:eastAsia="es-MX"/>
        </w:rPr>
        <w:t>1. 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w:t>
      </w:r>
    </w:p>
    <w:p w:rsidR="00F40C23" w:rsidRPr="00F40C23" w:rsidRDefault="00F40C23" w:rsidP="00F40C23">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9" w:name="A11P2"/>
      <w:bookmarkEnd w:id="29"/>
      <w:r w:rsidRPr="00F40C23">
        <w:rPr>
          <w:rFonts w:ascii="Times New Roman" w:eastAsia="Times New Roman" w:hAnsi="Times New Roman" w:cs="Times New Roman"/>
          <w:sz w:val="24"/>
          <w:szCs w:val="24"/>
          <w:lang w:eastAsia="es-MX"/>
        </w:rPr>
        <w:t>2. Todo Miembro que haya ratificado este Convenio y que, en el plazo de un año después de la expiración del período de diez años mencionado en el párrafo precedente, no haga uso del derecho de denuncia previsto en este artículo quedará obligado durante un nuevo período de diez años, y en lo sucesivo podrá denunciar este Convenio a la expiración de cada período de diez años, en las condiciones previstas en este artículo.</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0" w:name="A12"/>
      <w:bookmarkEnd w:id="30"/>
      <w:r w:rsidRPr="00F40C23">
        <w:rPr>
          <w:rFonts w:ascii="Times New Roman" w:eastAsia="Times New Roman" w:hAnsi="Times New Roman" w:cs="Times New Roman"/>
          <w:b/>
          <w:bCs/>
          <w:sz w:val="20"/>
          <w:szCs w:val="20"/>
          <w:lang w:eastAsia="es-MX"/>
        </w:rPr>
        <w:t>Artículo 12</w:t>
      </w:r>
    </w:p>
    <w:p w:rsidR="00F40C23" w:rsidRPr="00F40C23" w:rsidRDefault="00F40C23" w:rsidP="00F40C2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1" w:name="A12P1"/>
      <w:bookmarkEnd w:id="31"/>
      <w:r w:rsidRPr="00F40C23">
        <w:rPr>
          <w:rFonts w:ascii="Times New Roman" w:eastAsia="Times New Roman" w:hAnsi="Times New Roman" w:cs="Times New Roman"/>
          <w:sz w:val="24"/>
          <w:szCs w:val="24"/>
          <w:lang w:eastAsia="es-MX"/>
        </w:rPr>
        <w:t>1. El Director General de la Oficina Internacional del Trabajo notificará a todos los Miembros de la Organización Internacional del Trabajo el registro de cuantas ratificaciones, declaraciones y denuncias le comuniquen los Miembros de la Organización.</w:t>
      </w:r>
    </w:p>
    <w:p w:rsidR="00F40C23" w:rsidRPr="00F40C23" w:rsidRDefault="00F40C23" w:rsidP="00F40C23">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2" w:name="A12P2"/>
      <w:bookmarkEnd w:id="32"/>
      <w:r w:rsidRPr="00F40C23">
        <w:rPr>
          <w:rFonts w:ascii="Times New Roman" w:eastAsia="Times New Roman" w:hAnsi="Times New Roman" w:cs="Times New Roman"/>
          <w:sz w:val="24"/>
          <w:szCs w:val="24"/>
          <w:lang w:eastAsia="es-MX"/>
        </w:rPr>
        <w:lastRenderedPageBreak/>
        <w:t>2. Al notificar a los Miembros de la Organización el registro de la segunda ratificación que le haya sido comunicada, el Director General llamará la atención de los Miembros de la Organización sobre la fecha en que entrará en vigor el presente Convenio.</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3" w:name="A13"/>
      <w:bookmarkEnd w:id="33"/>
      <w:r w:rsidRPr="00F40C23">
        <w:rPr>
          <w:rFonts w:ascii="Times New Roman" w:eastAsia="Times New Roman" w:hAnsi="Times New Roman" w:cs="Times New Roman"/>
          <w:b/>
          <w:bCs/>
          <w:sz w:val="20"/>
          <w:szCs w:val="20"/>
          <w:lang w:eastAsia="es-MX"/>
        </w:rPr>
        <w:t>Artículo 13</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El Director General de la Oficina Internacional del Trabajo comunicará al Secretario General de las Naciones Unidas, a los efectos del registro y de conformidad con el artículo 102 de la Carta de las Naciones Unidas, una información completa sobre todas las ratificaciones, declaraciones y actas de denuncia que haya registrado de acuerdo con los artículos precedentes.</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4" w:name="A14"/>
      <w:bookmarkEnd w:id="34"/>
      <w:r w:rsidRPr="00F40C23">
        <w:rPr>
          <w:rFonts w:ascii="Times New Roman" w:eastAsia="Times New Roman" w:hAnsi="Times New Roman" w:cs="Times New Roman"/>
          <w:b/>
          <w:bCs/>
          <w:sz w:val="20"/>
          <w:szCs w:val="20"/>
          <w:lang w:eastAsia="es-MX"/>
        </w:rPr>
        <w:t>Artículo 14</w:t>
      </w:r>
    </w:p>
    <w:p w:rsidR="00F40C23" w:rsidRPr="00F40C23" w:rsidRDefault="00F40C23" w:rsidP="00F40C23">
      <w:p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Cada vez que lo estime necesario, el Consejo de Administración de la Oficina Internacional del Trabajo presentará a la Conferencia General una memoria sobre la aplicación del Convenio y considerará la conveniencia de incluir en el orden del día de la Conferencia la cuestión de su revisión total o parcial.</w:t>
      </w:r>
    </w:p>
    <w:p w:rsidR="00F40C23" w:rsidRPr="00F40C23" w:rsidRDefault="00F40C23" w:rsidP="00F40C23">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35" w:name="A15"/>
      <w:bookmarkEnd w:id="35"/>
      <w:r w:rsidRPr="00F40C23">
        <w:rPr>
          <w:rFonts w:ascii="Times New Roman" w:eastAsia="Times New Roman" w:hAnsi="Times New Roman" w:cs="Times New Roman"/>
          <w:b/>
          <w:bCs/>
          <w:sz w:val="20"/>
          <w:szCs w:val="20"/>
          <w:lang w:eastAsia="es-MX"/>
        </w:rPr>
        <w:t>Artículo 15</w:t>
      </w:r>
    </w:p>
    <w:p w:rsidR="00F40C23" w:rsidRPr="00F40C23" w:rsidRDefault="00F40C23" w:rsidP="00F40C2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6" w:name="A15P1"/>
      <w:bookmarkEnd w:id="36"/>
      <w:r w:rsidRPr="00F40C23">
        <w:rPr>
          <w:rFonts w:ascii="Times New Roman" w:eastAsia="Times New Roman" w:hAnsi="Times New Roman" w:cs="Times New Roman"/>
          <w:sz w:val="24"/>
          <w:szCs w:val="24"/>
          <w:lang w:eastAsia="es-MX"/>
        </w:rPr>
        <w:t xml:space="preserve">1. En caso de que la Conferencia adopte un nuevo convenio que implique una revisión total o parcial del presente, y a menos que el nuevo convenio contenga disposiciones en contrario: </w:t>
      </w:r>
    </w:p>
    <w:p w:rsidR="00F40C23" w:rsidRPr="00F40C23" w:rsidRDefault="00F40C23" w:rsidP="00F40C23">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(a) la ratificación, por un Miembro, del nuevo convenio revisor implicará, ipso jure, la denuncia inmediata de este Convenio, no obstante las disposiciones contenidas en el artículo 11, siempre que el nuevo convenio revisor haya entrado en vigor;</w:t>
      </w:r>
    </w:p>
    <w:p w:rsidR="00F40C23" w:rsidRPr="00F40C23" w:rsidRDefault="00F40C23" w:rsidP="00F40C23">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(b) a partir de la fecha en que entre en vigor el nuevo convenio revisor, el presente Convenio cesará de estar abierto a la ratificación por los Miembros.</w:t>
      </w:r>
    </w:p>
    <w:p w:rsidR="00F40C23" w:rsidRPr="00F40C23" w:rsidRDefault="00F40C23" w:rsidP="00F40C23">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7" w:name="A15P2"/>
      <w:bookmarkEnd w:id="37"/>
      <w:r w:rsidRPr="00F40C23">
        <w:rPr>
          <w:rFonts w:ascii="Times New Roman" w:eastAsia="Times New Roman" w:hAnsi="Times New Roman" w:cs="Times New Roman"/>
          <w:sz w:val="24"/>
          <w:szCs w:val="24"/>
          <w:lang w:eastAsia="es-MX"/>
        </w:rPr>
        <w:t>2. Este Convenio continuará en vigor en todo caso, en su forma y contenido actuales, para las Miembros que lo hayan ratificado y no ratifiquen el convenio revisor.</w:t>
      </w:r>
    </w:p>
    <w:p w:rsidR="00F40C23" w:rsidRPr="00F40C23" w:rsidRDefault="00F40C23" w:rsidP="00F40C23">
      <w:pPr>
        <w:spacing w:before="100" w:beforeAutospacing="1" w:after="100" w:afterAutospacing="1" w:line="240" w:lineRule="auto"/>
        <w:outlineLvl w:val="4"/>
        <w:rPr>
          <w:rFonts w:ascii="Times New Roman" w:eastAsia="Times New Roman" w:hAnsi="Times New Roman" w:cs="Times New Roman"/>
          <w:b/>
          <w:bCs/>
          <w:sz w:val="20"/>
          <w:szCs w:val="20"/>
          <w:lang w:eastAsia="es-MX"/>
        </w:rPr>
      </w:pPr>
      <w:bookmarkStart w:id="38" w:name="A16"/>
      <w:bookmarkEnd w:id="38"/>
      <w:r w:rsidRPr="00F40C23">
        <w:rPr>
          <w:rFonts w:ascii="Times New Roman" w:eastAsia="Times New Roman" w:hAnsi="Times New Roman" w:cs="Times New Roman"/>
          <w:b/>
          <w:bCs/>
          <w:sz w:val="20"/>
          <w:szCs w:val="20"/>
          <w:lang w:eastAsia="es-MX"/>
        </w:rPr>
        <w:t>Artículo 16</w:t>
      </w:r>
    </w:p>
    <w:p w:rsidR="00F40C23" w:rsidRPr="00F40C23" w:rsidRDefault="00F40C23" w:rsidP="00F40C23">
      <w:pPr>
        <w:spacing w:before="100" w:beforeAutospacing="1" w:after="100" w:afterAutospacing="1" w:line="240" w:lineRule="auto"/>
        <w:rPr>
          <w:rFonts w:ascii="Times New Roman" w:eastAsia="Times New Roman" w:hAnsi="Times New Roman" w:cs="Times New Roman"/>
          <w:sz w:val="24"/>
          <w:szCs w:val="24"/>
          <w:lang w:eastAsia="es-MX"/>
        </w:rPr>
      </w:pPr>
      <w:r w:rsidRPr="00F40C23">
        <w:rPr>
          <w:rFonts w:ascii="Times New Roman" w:eastAsia="Times New Roman" w:hAnsi="Times New Roman" w:cs="Times New Roman"/>
          <w:sz w:val="24"/>
          <w:szCs w:val="24"/>
          <w:lang w:eastAsia="es-MX"/>
        </w:rPr>
        <w:t>Las versiones inglesa y francesa del texto de este Convenio son igualmente auténticas.</w:t>
      </w:r>
    </w:p>
    <w:p w:rsidR="00F40C23" w:rsidRPr="00F40C23" w:rsidRDefault="00F40C23" w:rsidP="00F40C2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p>
    <w:p w:rsidR="006831E3" w:rsidRDefault="006831E3"/>
    <w:sectPr w:rsidR="006831E3" w:rsidSect="00F40C23">
      <w:pgSz w:w="12240" w:h="15840"/>
      <w:pgMar w:top="1417" w:right="90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D55"/>
    <w:multiLevelType w:val="multilevel"/>
    <w:tmpl w:val="8960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94EC7"/>
    <w:multiLevelType w:val="multilevel"/>
    <w:tmpl w:val="BA586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83CF9"/>
    <w:multiLevelType w:val="multilevel"/>
    <w:tmpl w:val="A1FC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2732E"/>
    <w:multiLevelType w:val="multilevel"/>
    <w:tmpl w:val="0D4C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5A55C2"/>
    <w:multiLevelType w:val="multilevel"/>
    <w:tmpl w:val="612C2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C175B"/>
    <w:multiLevelType w:val="multilevel"/>
    <w:tmpl w:val="5490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22382"/>
    <w:multiLevelType w:val="multilevel"/>
    <w:tmpl w:val="C124F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7713B3"/>
    <w:multiLevelType w:val="multilevel"/>
    <w:tmpl w:val="E63E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942FB7"/>
    <w:multiLevelType w:val="multilevel"/>
    <w:tmpl w:val="8F26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7"/>
  </w:num>
  <w:num w:numId="5">
    <w:abstractNumId w:val="6"/>
  </w:num>
  <w:num w:numId="6">
    <w:abstractNumId w:val="5"/>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23"/>
    <w:rsid w:val="006831E3"/>
    <w:rsid w:val="00F40C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EA3A3-8844-4DB0-809B-B3C75A98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4247">
      <w:bodyDiv w:val="1"/>
      <w:marLeft w:val="0"/>
      <w:marRight w:val="0"/>
      <w:marTop w:val="0"/>
      <w:marBottom w:val="0"/>
      <w:divBdr>
        <w:top w:val="none" w:sz="0" w:space="0" w:color="auto"/>
        <w:left w:val="none" w:sz="0" w:space="0" w:color="auto"/>
        <w:bottom w:val="none" w:sz="0" w:space="0" w:color="auto"/>
        <w:right w:val="none" w:sz="0" w:space="0" w:color="auto"/>
      </w:divBdr>
      <w:divsChild>
        <w:div w:id="220092627">
          <w:marLeft w:val="0"/>
          <w:marRight w:val="0"/>
          <w:marTop w:val="0"/>
          <w:marBottom w:val="0"/>
          <w:divBdr>
            <w:top w:val="none" w:sz="0" w:space="0" w:color="auto"/>
            <w:left w:val="none" w:sz="0" w:space="0" w:color="auto"/>
            <w:bottom w:val="none" w:sz="0" w:space="0" w:color="auto"/>
            <w:right w:val="none" w:sz="0" w:space="0" w:color="auto"/>
          </w:divBdr>
        </w:div>
      </w:divsChild>
    </w:div>
    <w:div w:id="3317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1517</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2020-05-28T05:18:00Z</dcterms:created>
  <dcterms:modified xsi:type="dcterms:W3CDTF">2020-05-28T05:20:00Z</dcterms:modified>
</cp:coreProperties>
</file>