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22" w:rsidRDefault="00E33C22" w:rsidP="00E33C2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E33C22">
        <w:rPr>
          <w:rFonts w:ascii="Times New Roman" w:eastAsia="Times New Roman" w:hAnsi="Times New Roman" w:cs="Times New Roman"/>
          <w:b/>
          <w:bCs/>
          <w:kern w:val="36"/>
          <w:sz w:val="48"/>
          <w:szCs w:val="48"/>
          <w:lang w:eastAsia="es-MX"/>
        </w:rPr>
        <w:t>C087 - Convenio sobre la libertad sindical y la protección del derecho de sindicación, 1948 (núm. 87)</w:t>
      </w:r>
    </w:p>
    <w:p w:rsidR="00E33C22" w:rsidRPr="00E33C22" w:rsidRDefault="00E33C22" w:rsidP="00E33C22">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E33C22">
        <w:rPr>
          <w:rFonts w:ascii="Times New Roman" w:eastAsia="Times New Roman" w:hAnsi="Times New Roman" w:cs="Times New Roman"/>
          <w:b/>
          <w:bCs/>
          <w:sz w:val="36"/>
          <w:szCs w:val="36"/>
          <w:lang w:eastAsia="es-MX"/>
        </w:rPr>
        <w:t xml:space="preserve">Preámbulo </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La Conferencia General de la Organización Internacional del Trabajo:</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Convocada en San Francisco por el Consejo de Administración de la Oficina Internacional del Trabajo, y congregada en dicha ciudad el 17 junio 1948 en su trigésima primera reunión;</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Después de haber decidido adoptar, en forma de convenio, diversas proposiciones relativas a la libertad sindical y a la protección del derecho de sindicación, cuestión que constituye el séptimo punto del orden del día de la reunión;</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Considerando que el preámbulo de la Constitución de la Organización Internacional del Trabajo enuncia, entre los medios susceptibles de mejorar las condiciones de trabajo y de garantizar la paz, "la afirmación del principio de la libertad de asociación sindical";</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Considerando que la Declaración de Filadelfia proclamó nuevamente que "la libertad de expresión y de asociación es esencial para el progreso constante</w:t>
      </w:r>
      <w:r w:rsidRPr="00E33C22">
        <w:rPr>
          <w:rFonts w:ascii="Times New Roman" w:eastAsia="Times New Roman" w:hAnsi="Times New Roman" w:cs="Times New Roman"/>
          <w:sz w:val="24"/>
          <w:szCs w:val="24"/>
          <w:lang w:eastAsia="es-MX"/>
        </w:rPr>
        <w:t>”;</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Considerando que la Conferencia Internacional del Trabajo, en su trigésima reunión, adoptó por unanimidad los principios que deben servir de base a la reglamentación internacional, y</w:t>
      </w:r>
    </w:p>
    <w:p w:rsid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Considerando que la Asamblea General de las Naciones Unidas, en su segundo período de sesiones, hizo suyos estos principios y solicitó de la Organización Internacional del Trabajo la continuación de todos sus esfuerzos a fin de hacer posible la adopción de uno o varios convenios internacionales,</w:t>
      </w:r>
      <w:r>
        <w:rPr>
          <w:rFonts w:ascii="Times New Roman" w:eastAsia="Times New Roman" w:hAnsi="Times New Roman" w:cs="Times New Roman"/>
          <w:sz w:val="24"/>
          <w:szCs w:val="24"/>
          <w:lang w:eastAsia="es-MX"/>
        </w:rPr>
        <w:t xml:space="preserve"> </w:t>
      </w:r>
      <w:r w:rsidRPr="00E33C22">
        <w:rPr>
          <w:rFonts w:ascii="Times New Roman" w:eastAsia="Times New Roman" w:hAnsi="Times New Roman" w:cs="Times New Roman"/>
          <w:sz w:val="24"/>
          <w:szCs w:val="24"/>
          <w:lang w:eastAsia="es-MX"/>
        </w:rPr>
        <w:t>adopta, con fecha nueve de julio de mil novecientos cuarenta y ocho, el siguiente Convenio, que podrá ser citado como el Convenio sobre la libertad sindical y la protección del derecho de sindicación, 1948:</w:t>
      </w:r>
    </w:p>
    <w:p w:rsidR="00E33C22" w:rsidRPr="00E33C22" w:rsidRDefault="00E33C22" w:rsidP="00E33C22">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E33C22">
        <w:rPr>
          <w:rFonts w:ascii="Times New Roman" w:eastAsia="Times New Roman" w:hAnsi="Times New Roman" w:cs="Times New Roman"/>
          <w:b/>
          <w:bCs/>
          <w:sz w:val="36"/>
          <w:szCs w:val="36"/>
          <w:lang w:eastAsia="es-MX"/>
        </w:rPr>
        <w:t>Parte I. Libertad Sindical</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E33C22">
        <w:rPr>
          <w:rFonts w:ascii="Times New Roman" w:eastAsia="Times New Roman" w:hAnsi="Times New Roman" w:cs="Times New Roman"/>
          <w:b/>
          <w:bCs/>
          <w:sz w:val="20"/>
          <w:szCs w:val="20"/>
          <w:lang w:eastAsia="es-MX"/>
        </w:rPr>
        <w:t>Artículo 1</w:t>
      </w:r>
    </w:p>
    <w:p w:rsid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Todo Miembro de la Organización Internacional del Trabajo para el cual esté en vigor el presente Convenio se obliga a poner en práctica las disposiciones siguientes.</w:t>
      </w:r>
    </w:p>
    <w:p w:rsid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2"/>
      <w:bookmarkEnd w:id="1"/>
      <w:r w:rsidRPr="00E33C22">
        <w:rPr>
          <w:rFonts w:ascii="Times New Roman" w:eastAsia="Times New Roman" w:hAnsi="Times New Roman" w:cs="Times New Roman"/>
          <w:b/>
          <w:bCs/>
          <w:sz w:val="20"/>
          <w:szCs w:val="20"/>
          <w:lang w:eastAsia="es-MX"/>
        </w:rPr>
        <w:lastRenderedPageBreak/>
        <w:t>Artículo 2</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Los trabajadores y los empleadores, sin ninguna distinción y sin autorización previa, tienen el derecho de constituir las organizaciones que estimen convenientes, así como el de afiliarse a estas organizaciones, con la sola condición de observar los estatutos de las mismas.</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 w:name="A3"/>
      <w:bookmarkEnd w:id="2"/>
      <w:r w:rsidRPr="00E33C22">
        <w:rPr>
          <w:rFonts w:ascii="Times New Roman" w:eastAsia="Times New Roman" w:hAnsi="Times New Roman" w:cs="Times New Roman"/>
          <w:b/>
          <w:bCs/>
          <w:sz w:val="20"/>
          <w:szCs w:val="20"/>
          <w:lang w:eastAsia="es-MX"/>
        </w:rPr>
        <w:t>Artículo 3</w:t>
      </w:r>
    </w:p>
    <w:p w:rsidR="00E33C22" w:rsidRPr="00E33C22" w:rsidRDefault="00E33C22" w:rsidP="00E33C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3P1"/>
      <w:bookmarkEnd w:id="3"/>
      <w:r w:rsidRPr="00E33C22">
        <w:rPr>
          <w:rFonts w:ascii="Times New Roman" w:eastAsia="Times New Roman" w:hAnsi="Times New Roman" w:cs="Times New Roman"/>
          <w:sz w:val="24"/>
          <w:szCs w:val="24"/>
          <w:lang w:eastAsia="es-MX"/>
        </w:rPr>
        <w:t>1. Las organizaciones de trabajadores y de empleadores tienen el derecho de redactar sus estatutos y reglamentos administrativos, el de elegir libremente sus representantes, el de organizar su administración y sus actividades y el de formular su programa de acción.</w:t>
      </w:r>
    </w:p>
    <w:p w:rsidR="00E33C22" w:rsidRPr="00E33C22" w:rsidRDefault="00E33C22" w:rsidP="00E33C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3P2"/>
      <w:bookmarkEnd w:id="4"/>
      <w:r w:rsidRPr="00E33C22">
        <w:rPr>
          <w:rFonts w:ascii="Times New Roman" w:eastAsia="Times New Roman" w:hAnsi="Times New Roman" w:cs="Times New Roman"/>
          <w:sz w:val="24"/>
          <w:szCs w:val="24"/>
          <w:lang w:eastAsia="es-MX"/>
        </w:rPr>
        <w:t>2. Las autoridades públicas deberán abstenerse de toda intervención que tienda a limitar este derecho o a entorpecer su ejercicio legal.</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 w:name="A4"/>
      <w:bookmarkEnd w:id="5"/>
      <w:r w:rsidRPr="00E33C22">
        <w:rPr>
          <w:rFonts w:ascii="Times New Roman" w:eastAsia="Times New Roman" w:hAnsi="Times New Roman" w:cs="Times New Roman"/>
          <w:b/>
          <w:bCs/>
          <w:sz w:val="20"/>
          <w:szCs w:val="20"/>
          <w:lang w:eastAsia="es-MX"/>
        </w:rPr>
        <w:t>Artículo 4</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Las organizaciones de trabajadores y de empleadores no están sujetas a disolución o suspensión por vía administrativa.</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 w:name="A5"/>
      <w:bookmarkEnd w:id="6"/>
      <w:r w:rsidRPr="00E33C22">
        <w:rPr>
          <w:rFonts w:ascii="Times New Roman" w:eastAsia="Times New Roman" w:hAnsi="Times New Roman" w:cs="Times New Roman"/>
          <w:b/>
          <w:bCs/>
          <w:sz w:val="20"/>
          <w:szCs w:val="20"/>
          <w:lang w:eastAsia="es-MX"/>
        </w:rPr>
        <w:t>Artículo 5</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Las organizaciones de trabajadores y de empleadores tienen el derecho de constituir federaciones y confederaciones, así como el de afiliarse a las mismas, y toda organización, federación o confederación tiene el derecho de afiliarse a organizaciones internacionales de trabajadores y de empleadores.</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6"/>
      <w:bookmarkEnd w:id="7"/>
      <w:r w:rsidRPr="00E33C22">
        <w:rPr>
          <w:rFonts w:ascii="Times New Roman" w:eastAsia="Times New Roman" w:hAnsi="Times New Roman" w:cs="Times New Roman"/>
          <w:b/>
          <w:bCs/>
          <w:sz w:val="20"/>
          <w:szCs w:val="20"/>
          <w:lang w:eastAsia="es-MX"/>
        </w:rPr>
        <w:t>Artículo 6</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Las disposiciones de los artículos 2, 3 y 4 de este Convenio se aplican a las federaciones y confederaciones de organizaciones de trabajadores y de empleadores.</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7"/>
      <w:bookmarkEnd w:id="8"/>
      <w:r w:rsidRPr="00E33C22">
        <w:rPr>
          <w:rFonts w:ascii="Times New Roman" w:eastAsia="Times New Roman" w:hAnsi="Times New Roman" w:cs="Times New Roman"/>
          <w:b/>
          <w:bCs/>
          <w:sz w:val="20"/>
          <w:szCs w:val="20"/>
          <w:lang w:eastAsia="es-MX"/>
        </w:rPr>
        <w:t>Artículo 7</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La adquisición de la personalidad jurídica por las organizaciones de trabajadores y de empleadores, sus federaciones y confederaciones no puede estar sujeta a condiciones cuya naturaleza limite la aplicación de las disposiciones de los artículos 2, 3 y 4 de este Convenio</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8"/>
      <w:bookmarkEnd w:id="9"/>
      <w:r w:rsidRPr="00E33C22">
        <w:rPr>
          <w:rFonts w:ascii="Times New Roman" w:eastAsia="Times New Roman" w:hAnsi="Times New Roman" w:cs="Times New Roman"/>
          <w:b/>
          <w:bCs/>
          <w:sz w:val="20"/>
          <w:szCs w:val="20"/>
          <w:lang w:eastAsia="es-MX"/>
        </w:rPr>
        <w:t>Artículo 8</w:t>
      </w:r>
    </w:p>
    <w:p w:rsidR="00E33C22" w:rsidRPr="00E33C22" w:rsidRDefault="00E33C22" w:rsidP="00E33C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8P1"/>
      <w:bookmarkEnd w:id="10"/>
      <w:r w:rsidRPr="00E33C22">
        <w:rPr>
          <w:rFonts w:ascii="Times New Roman" w:eastAsia="Times New Roman" w:hAnsi="Times New Roman" w:cs="Times New Roman"/>
          <w:sz w:val="24"/>
          <w:szCs w:val="24"/>
          <w:lang w:eastAsia="es-MX"/>
        </w:rPr>
        <w:t>1. Al ejercer los derechos que se les reconocen en el presente Convenio, los trabajadores, los empleadores y sus organizaciones respectivas están obligados, lo mismo que las demás personas o las colectividades organizadas, a respetar la legalidad.</w:t>
      </w:r>
    </w:p>
    <w:p w:rsidR="00E33C22" w:rsidRDefault="00E33C22" w:rsidP="00E33C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A8P2"/>
      <w:bookmarkEnd w:id="11"/>
      <w:r w:rsidRPr="00E33C22">
        <w:rPr>
          <w:rFonts w:ascii="Times New Roman" w:eastAsia="Times New Roman" w:hAnsi="Times New Roman" w:cs="Times New Roman"/>
          <w:sz w:val="24"/>
          <w:szCs w:val="24"/>
          <w:lang w:eastAsia="es-MX"/>
        </w:rPr>
        <w:t>2. La legislación nacional no menoscabará ni será aplicada de suerte que menoscabe las garantías previstas por el presente Convenio.</w:t>
      </w:r>
    </w:p>
    <w:p w:rsidR="00E33C22" w:rsidRPr="00E33C22" w:rsidRDefault="00E33C22" w:rsidP="00E33C22">
      <w:pPr>
        <w:spacing w:before="100" w:beforeAutospacing="1" w:after="100" w:afterAutospacing="1" w:line="240" w:lineRule="auto"/>
        <w:ind w:left="720"/>
        <w:jc w:val="both"/>
        <w:rPr>
          <w:rFonts w:ascii="Times New Roman" w:eastAsia="Times New Roman" w:hAnsi="Times New Roman" w:cs="Times New Roman"/>
          <w:sz w:val="24"/>
          <w:szCs w:val="24"/>
          <w:lang w:eastAsia="es-MX"/>
        </w:rPr>
      </w:pP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9"/>
      <w:bookmarkEnd w:id="12"/>
      <w:r w:rsidRPr="00E33C22">
        <w:rPr>
          <w:rFonts w:ascii="Times New Roman" w:eastAsia="Times New Roman" w:hAnsi="Times New Roman" w:cs="Times New Roman"/>
          <w:b/>
          <w:bCs/>
          <w:sz w:val="20"/>
          <w:szCs w:val="20"/>
          <w:lang w:eastAsia="es-MX"/>
        </w:rPr>
        <w:lastRenderedPageBreak/>
        <w:t>Artículo 9</w:t>
      </w:r>
    </w:p>
    <w:p w:rsidR="00E33C22" w:rsidRPr="00E33C22" w:rsidRDefault="00E33C22" w:rsidP="00E33C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9P1"/>
      <w:bookmarkEnd w:id="13"/>
      <w:r w:rsidRPr="00E33C22">
        <w:rPr>
          <w:rFonts w:ascii="Times New Roman" w:eastAsia="Times New Roman" w:hAnsi="Times New Roman" w:cs="Times New Roman"/>
          <w:sz w:val="24"/>
          <w:szCs w:val="24"/>
          <w:lang w:eastAsia="es-MX"/>
        </w:rPr>
        <w:t>1. La legislación nacional deberá determinar hasta qué punto se aplicarán a las fuerzas armadas y a la policía las garantías previstas por el presente Convenio.</w:t>
      </w:r>
    </w:p>
    <w:p w:rsidR="00E33C22" w:rsidRPr="00E33C22" w:rsidRDefault="00E33C22" w:rsidP="00E33C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4" w:name="A9P2"/>
      <w:bookmarkEnd w:id="14"/>
      <w:r w:rsidRPr="00E33C22">
        <w:rPr>
          <w:rFonts w:ascii="Times New Roman" w:eastAsia="Times New Roman" w:hAnsi="Times New Roman" w:cs="Times New Roman"/>
          <w:sz w:val="24"/>
          <w:szCs w:val="24"/>
          <w:lang w:eastAsia="es-MX"/>
        </w:rPr>
        <w:t>2. De conformidad con los principios establecidos en el párrafo 8 del artículo 19 de la Constitución de la Organización Internacional del Trabajo, no deberá considerarse que la ratificación de este Convenio por un Miembro menoscaba en modo alguno las leyes, sentencias, costumbres o acuerdos ya existentes que concedan a los miembros de las fuerzas armadas y de la policía garantías prescritas por el presente Convenio.</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5" w:name="A10"/>
      <w:bookmarkEnd w:id="15"/>
      <w:r w:rsidRPr="00E33C22">
        <w:rPr>
          <w:rFonts w:ascii="Times New Roman" w:eastAsia="Times New Roman" w:hAnsi="Times New Roman" w:cs="Times New Roman"/>
          <w:b/>
          <w:bCs/>
          <w:sz w:val="20"/>
          <w:szCs w:val="20"/>
          <w:lang w:eastAsia="es-MX"/>
        </w:rPr>
        <w:t>Artículo 10</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 xml:space="preserve">En el presente Convenio, el término </w:t>
      </w:r>
      <w:r w:rsidRPr="00E33C22">
        <w:rPr>
          <w:rFonts w:ascii="Times New Roman" w:eastAsia="Times New Roman" w:hAnsi="Times New Roman" w:cs="Times New Roman"/>
          <w:b/>
          <w:bCs/>
          <w:i/>
          <w:iCs/>
          <w:sz w:val="24"/>
          <w:szCs w:val="24"/>
          <w:lang w:eastAsia="es-MX"/>
        </w:rPr>
        <w:t>organización</w:t>
      </w:r>
      <w:r w:rsidRPr="00E33C22">
        <w:rPr>
          <w:rFonts w:ascii="Times New Roman" w:eastAsia="Times New Roman" w:hAnsi="Times New Roman" w:cs="Times New Roman"/>
          <w:b/>
          <w:bCs/>
          <w:sz w:val="24"/>
          <w:szCs w:val="24"/>
          <w:lang w:eastAsia="es-MX"/>
        </w:rPr>
        <w:t xml:space="preserve"> </w:t>
      </w:r>
      <w:r w:rsidRPr="00E33C22">
        <w:rPr>
          <w:rFonts w:ascii="Times New Roman" w:eastAsia="Times New Roman" w:hAnsi="Times New Roman" w:cs="Times New Roman"/>
          <w:sz w:val="24"/>
          <w:szCs w:val="24"/>
          <w:lang w:eastAsia="es-MX"/>
        </w:rPr>
        <w:t>significa toda organización de trabajadores o de empleadores que tenga por objeto fomentar y defender los intereses de los trabajadores o de los empleadores.</w:t>
      </w:r>
    </w:p>
    <w:p w:rsidR="00E33C22" w:rsidRPr="00E33C22" w:rsidRDefault="00E33C22" w:rsidP="00E33C22">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E33C22">
        <w:rPr>
          <w:rFonts w:ascii="Times New Roman" w:eastAsia="Times New Roman" w:hAnsi="Times New Roman" w:cs="Times New Roman"/>
          <w:b/>
          <w:bCs/>
          <w:sz w:val="36"/>
          <w:szCs w:val="36"/>
          <w:lang w:eastAsia="es-MX"/>
        </w:rPr>
        <w:t>Parte II. Protección del Derecho de Sindicación</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11"/>
      <w:bookmarkEnd w:id="16"/>
      <w:r w:rsidRPr="00E33C22">
        <w:rPr>
          <w:rFonts w:ascii="Times New Roman" w:eastAsia="Times New Roman" w:hAnsi="Times New Roman" w:cs="Times New Roman"/>
          <w:b/>
          <w:bCs/>
          <w:sz w:val="20"/>
          <w:szCs w:val="20"/>
          <w:lang w:eastAsia="es-MX"/>
        </w:rPr>
        <w:t>Artículo 11</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Todo Miembro de la Organización Internacional del Trabajo para el cual esté en vigor el presente Convenio se obliga a adoptar todas las medidas necesarias y apropiadas para garantizar a los trabajadores y a los empleadores el libre ejercicio del derecho de sindicación.</w:t>
      </w:r>
    </w:p>
    <w:p w:rsidR="00E33C22" w:rsidRPr="00E33C22" w:rsidRDefault="00E33C22" w:rsidP="00E33C22">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E33C22">
        <w:rPr>
          <w:rFonts w:ascii="Times New Roman" w:eastAsia="Times New Roman" w:hAnsi="Times New Roman" w:cs="Times New Roman"/>
          <w:b/>
          <w:bCs/>
          <w:sz w:val="36"/>
          <w:szCs w:val="36"/>
          <w:lang w:eastAsia="es-MX"/>
        </w:rPr>
        <w:t>Parte III. Disposiciones Diversas</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12"/>
      <w:bookmarkEnd w:id="17"/>
      <w:r w:rsidRPr="00E33C22">
        <w:rPr>
          <w:rFonts w:ascii="Times New Roman" w:eastAsia="Times New Roman" w:hAnsi="Times New Roman" w:cs="Times New Roman"/>
          <w:b/>
          <w:bCs/>
          <w:sz w:val="20"/>
          <w:szCs w:val="20"/>
          <w:lang w:eastAsia="es-MX"/>
        </w:rPr>
        <w:t>Artículo 12</w:t>
      </w:r>
    </w:p>
    <w:p w:rsidR="00E33C22" w:rsidRPr="00E33C22" w:rsidRDefault="00E33C22" w:rsidP="00E33C2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12P1"/>
      <w:bookmarkEnd w:id="18"/>
      <w:r w:rsidRPr="00E33C22">
        <w:rPr>
          <w:rFonts w:ascii="Times New Roman" w:eastAsia="Times New Roman" w:hAnsi="Times New Roman" w:cs="Times New Roman"/>
          <w:sz w:val="24"/>
          <w:szCs w:val="24"/>
          <w:lang w:eastAsia="es-MX"/>
        </w:rPr>
        <w:t xml:space="preserve">1. Respecto de los territorios mencionados en el artículo 35 de la Constitución de la Organización Internacional del Trabajo, enmendada por el Instrumento de enmienda a la Constitución de la Organización Internacional del Trabajo, 1946, excepción hecha de los territorios a que se refieren los párrafos 4 y 5 de dicho artículo, tal como quedó enmendado, todo Miembro de la Organización que ratifique el presente Convenio deberá comunicar al Director General de la Oficina Internacional del Trabajo, en el plazo más breve posible después de su ratificación, una declaración en la que manifieste: </w:t>
      </w:r>
    </w:p>
    <w:p w:rsidR="00E33C22" w:rsidRPr="00E33C22" w:rsidRDefault="00E33C22" w:rsidP="00E33C2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(a) los territorios respecto de los cuales se obliga a que las disposiciones del Convenio sean aplicadas sin modificaciones;</w:t>
      </w:r>
    </w:p>
    <w:p w:rsidR="00E33C22" w:rsidRPr="00E33C22" w:rsidRDefault="00E33C22" w:rsidP="00E33C2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(b) los territorios respecto de los cuales se obliga a que las disposiciones del Convenio sean aplicadas con modificaciones, junto con los detalles de dichas modificaciones;</w:t>
      </w:r>
    </w:p>
    <w:p w:rsidR="00E33C22" w:rsidRPr="00E33C22" w:rsidRDefault="00E33C22" w:rsidP="00E33C2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(c) los territorios respecto de los cuales es inaplicable el Convenio y los motivos por los que es inaplicable;</w:t>
      </w:r>
    </w:p>
    <w:p w:rsidR="00E33C22" w:rsidRPr="00E33C22" w:rsidRDefault="00E33C22" w:rsidP="00E33C2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(d) los territorios respecto de los cuales reserva su decisión.</w:t>
      </w:r>
    </w:p>
    <w:p w:rsidR="00E33C22" w:rsidRPr="00E33C22" w:rsidRDefault="00E33C22" w:rsidP="00E33C2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12P2"/>
      <w:bookmarkEnd w:id="19"/>
      <w:r w:rsidRPr="00E33C22">
        <w:rPr>
          <w:rFonts w:ascii="Times New Roman" w:eastAsia="Times New Roman" w:hAnsi="Times New Roman" w:cs="Times New Roman"/>
          <w:sz w:val="24"/>
          <w:szCs w:val="24"/>
          <w:lang w:eastAsia="es-MX"/>
        </w:rPr>
        <w:t>2. Las obligaciones a que se refieren los apartados a) y b) del párrafo 1 de este artículo se considerarán parte integrante de la ratificación y producirán sus mismos efectos.</w:t>
      </w:r>
    </w:p>
    <w:p w:rsidR="00E33C22" w:rsidRPr="00E33C22" w:rsidRDefault="00E33C22" w:rsidP="00E33C2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12P3"/>
      <w:bookmarkEnd w:id="20"/>
      <w:r w:rsidRPr="00E33C22">
        <w:rPr>
          <w:rFonts w:ascii="Times New Roman" w:eastAsia="Times New Roman" w:hAnsi="Times New Roman" w:cs="Times New Roman"/>
          <w:sz w:val="24"/>
          <w:szCs w:val="24"/>
          <w:lang w:eastAsia="es-MX"/>
        </w:rPr>
        <w:lastRenderedPageBreak/>
        <w:t>3. Todo Miembro podrá renunciar, total o parcialmente, por medio de una nueva declaración, a cualquier reserva formulada en su primera declaración en virtud de los apartados b), c) o d) del párrafo 1 de este artículo.</w:t>
      </w:r>
    </w:p>
    <w:p w:rsidR="00E33C22" w:rsidRPr="00E33C22" w:rsidRDefault="00E33C22" w:rsidP="00E33C2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12P4"/>
      <w:bookmarkEnd w:id="21"/>
      <w:r w:rsidRPr="00E33C22">
        <w:rPr>
          <w:rFonts w:ascii="Times New Roman" w:eastAsia="Times New Roman" w:hAnsi="Times New Roman" w:cs="Times New Roman"/>
          <w:sz w:val="24"/>
          <w:szCs w:val="24"/>
          <w:lang w:eastAsia="es-MX"/>
        </w:rPr>
        <w:t>4. Durante los períodos en que este Convenio pueda ser denunciado, de conformidad con las disposiciones del artículo 16, todo Miembro podrá comunicar al Director General una declaración por la que modifique, en cualquier otro aspecto, los términos de cualquier declaración anterior y en la que indique la situación en territorios determinados.</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2" w:name="A13"/>
      <w:bookmarkEnd w:id="22"/>
      <w:r w:rsidRPr="00E33C22">
        <w:rPr>
          <w:rFonts w:ascii="Times New Roman" w:eastAsia="Times New Roman" w:hAnsi="Times New Roman" w:cs="Times New Roman"/>
          <w:b/>
          <w:bCs/>
          <w:sz w:val="20"/>
          <w:szCs w:val="20"/>
          <w:lang w:eastAsia="es-MX"/>
        </w:rPr>
        <w:t>Artículo 13</w:t>
      </w:r>
    </w:p>
    <w:p w:rsidR="00E33C22" w:rsidRPr="00E33C22" w:rsidRDefault="00E33C22" w:rsidP="00E33C2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3" w:name="A13P1"/>
      <w:bookmarkEnd w:id="23"/>
      <w:r w:rsidRPr="00E33C22">
        <w:rPr>
          <w:rFonts w:ascii="Times New Roman" w:eastAsia="Times New Roman" w:hAnsi="Times New Roman" w:cs="Times New Roman"/>
          <w:sz w:val="24"/>
          <w:szCs w:val="24"/>
          <w:lang w:eastAsia="es-MX"/>
        </w:rPr>
        <w:t>1. Cuando las cuestiones tratadas en el presente Convenio sean de la competencia de las autoridades de un territorio no metropolitano, el Miembro responsable de las relaciones internacionales de ese territorio, de acuerdo con el gobierno del territorio, podrá comunicar al Director General de la Oficina Internacional del Trabajo una declaración por la que acepte, en nombre del territorio, las obligaciones del presente Convenio.</w:t>
      </w:r>
    </w:p>
    <w:p w:rsidR="00E33C22" w:rsidRPr="00E33C22" w:rsidRDefault="00E33C22" w:rsidP="00E33C2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4" w:name="A13P2"/>
      <w:bookmarkEnd w:id="24"/>
      <w:r w:rsidRPr="00E33C22">
        <w:rPr>
          <w:rFonts w:ascii="Times New Roman" w:eastAsia="Times New Roman" w:hAnsi="Times New Roman" w:cs="Times New Roman"/>
          <w:sz w:val="24"/>
          <w:szCs w:val="24"/>
          <w:lang w:eastAsia="es-MX"/>
        </w:rPr>
        <w:t xml:space="preserve">2. Podrán comunicar al Director General de la Oficina Internacional del Trabajo una declaración por la que se acepten las obligaciones de este Convenio: </w:t>
      </w:r>
    </w:p>
    <w:p w:rsidR="00E33C22" w:rsidRPr="00E33C22" w:rsidRDefault="00E33C22" w:rsidP="00E33C22">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(a) dos o más Miembros de la Organización, respecto de cualquier territorio que esté bajo su autoridad común; o</w:t>
      </w:r>
    </w:p>
    <w:p w:rsidR="00E33C22" w:rsidRPr="00E33C22" w:rsidRDefault="00E33C22" w:rsidP="00E33C22">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(b) toda autoridad internacional responsable de la administración de cualquier territorio, en virtud de las disposiciones de la Carta de las Naciones Unidas o de cualquier otra disposición en vigor, respecto de dicho territorio.</w:t>
      </w:r>
    </w:p>
    <w:p w:rsidR="00E33C22" w:rsidRPr="00E33C22" w:rsidRDefault="00E33C22" w:rsidP="00E33C2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5" w:name="A13P3"/>
      <w:bookmarkEnd w:id="25"/>
      <w:r w:rsidRPr="00E33C22">
        <w:rPr>
          <w:rFonts w:ascii="Times New Roman" w:eastAsia="Times New Roman" w:hAnsi="Times New Roman" w:cs="Times New Roman"/>
          <w:sz w:val="24"/>
          <w:szCs w:val="24"/>
          <w:lang w:eastAsia="es-MX"/>
        </w:rPr>
        <w:t>3. Las declaraciones comunicadas al Director General de la Oficina Internacional del Trabajo, de conformidad con los párrafos precedentes de este artículo, deberán indicar si las disposiciones del Convenio serán aplicadas en el territorio interesado con modificaciones o sin ellas; cuando la declaración indique que las disposiciones del Convenio serán aplicadas con modificaciones, deberá especificar en qué consisten dichas modificaciones.</w:t>
      </w:r>
    </w:p>
    <w:p w:rsidR="00E33C22" w:rsidRPr="00E33C22" w:rsidRDefault="00E33C22" w:rsidP="00E33C2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6" w:name="A13P4"/>
      <w:bookmarkEnd w:id="26"/>
      <w:r w:rsidRPr="00E33C22">
        <w:rPr>
          <w:rFonts w:ascii="Times New Roman" w:eastAsia="Times New Roman" w:hAnsi="Times New Roman" w:cs="Times New Roman"/>
          <w:sz w:val="24"/>
          <w:szCs w:val="24"/>
          <w:lang w:eastAsia="es-MX"/>
        </w:rPr>
        <w:t>4. El Miembro, los Miembros o la autoridad internacional interesados podrán renunciar, total o parcialmente, por medio de una declaración ulterior, al derecho a invocar una modificación indicada en cualquier otra declaración anterior.</w:t>
      </w:r>
    </w:p>
    <w:p w:rsidR="00E33C22" w:rsidRPr="00E33C22" w:rsidRDefault="00E33C22" w:rsidP="00E33C2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7" w:name="A13P5"/>
      <w:bookmarkEnd w:id="27"/>
      <w:r w:rsidRPr="00E33C22">
        <w:rPr>
          <w:rFonts w:ascii="Times New Roman" w:eastAsia="Times New Roman" w:hAnsi="Times New Roman" w:cs="Times New Roman"/>
          <w:sz w:val="24"/>
          <w:szCs w:val="24"/>
          <w:lang w:eastAsia="es-MX"/>
        </w:rPr>
        <w:t>5. Durante los períodos en que este Convenio pueda ser denunciado de conformidad con las disposiciones del artículo 16, el Miembro, los Miembros o la autoridad internacional interesados podrán comunicar al Director General una declaración por la que modifiquen, en cualquier otro respecto, los términos de cualquier declaración anterior y en la que indiquen la situación en lo que se refiere a la aplicación del Convenio.</w:t>
      </w:r>
    </w:p>
    <w:p w:rsidR="00E33C22" w:rsidRPr="00E33C22" w:rsidRDefault="00E33C22" w:rsidP="00E33C22">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E33C22">
        <w:rPr>
          <w:rFonts w:ascii="Times New Roman" w:eastAsia="Times New Roman" w:hAnsi="Times New Roman" w:cs="Times New Roman"/>
          <w:b/>
          <w:bCs/>
          <w:sz w:val="36"/>
          <w:szCs w:val="36"/>
          <w:lang w:eastAsia="es-MX"/>
        </w:rPr>
        <w:t>Parte IV. Disposiciones Finales</w:t>
      </w:r>
    </w:p>
    <w:p w:rsidR="00E33C22" w:rsidRPr="00E33C22" w:rsidRDefault="00E33C22" w:rsidP="00E33C22">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28" w:name="A14"/>
      <w:bookmarkEnd w:id="28"/>
      <w:r w:rsidRPr="00E33C22">
        <w:rPr>
          <w:rFonts w:ascii="Times New Roman" w:eastAsia="Times New Roman" w:hAnsi="Times New Roman" w:cs="Times New Roman"/>
          <w:b/>
          <w:bCs/>
          <w:sz w:val="20"/>
          <w:szCs w:val="20"/>
          <w:lang w:eastAsia="es-MX"/>
        </w:rPr>
        <w:t>Artículo 14</w:t>
      </w:r>
    </w:p>
    <w:p w:rsidR="00E33C22" w:rsidRPr="00E33C22" w:rsidRDefault="00E33C22" w:rsidP="00E33C22">
      <w:pPr>
        <w:spacing w:before="100" w:beforeAutospacing="1" w:after="100" w:afterAutospacing="1" w:line="240" w:lineRule="auto"/>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9" w:name="A15"/>
      <w:bookmarkEnd w:id="29"/>
      <w:r w:rsidRPr="00E33C22">
        <w:rPr>
          <w:rFonts w:ascii="Times New Roman" w:eastAsia="Times New Roman" w:hAnsi="Times New Roman" w:cs="Times New Roman"/>
          <w:b/>
          <w:bCs/>
          <w:sz w:val="20"/>
          <w:szCs w:val="20"/>
          <w:lang w:eastAsia="es-MX"/>
        </w:rPr>
        <w:lastRenderedPageBreak/>
        <w:t>Artículo 15</w:t>
      </w:r>
      <w:bookmarkStart w:id="30" w:name="_GoBack"/>
      <w:bookmarkEnd w:id="30"/>
    </w:p>
    <w:p w:rsidR="00E33C22" w:rsidRPr="00E33C22" w:rsidRDefault="00E33C22" w:rsidP="00E33C2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1" w:name="A15P1"/>
      <w:bookmarkEnd w:id="31"/>
      <w:r w:rsidRPr="00E33C22">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E33C22" w:rsidRPr="00E33C22" w:rsidRDefault="00E33C22" w:rsidP="00E33C2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2" w:name="A15P2"/>
      <w:bookmarkEnd w:id="32"/>
      <w:r w:rsidRPr="00E33C22">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E33C22" w:rsidRPr="00E33C22" w:rsidRDefault="00E33C22" w:rsidP="00E33C2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3" w:name="A15P3"/>
      <w:bookmarkEnd w:id="33"/>
      <w:r w:rsidRPr="00E33C22">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E33C22" w:rsidRPr="00E33C22" w:rsidRDefault="00E33C22" w:rsidP="00E33C22">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34" w:name="A16"/>
      <w:bookmarkEnd w:id="34"/>
      <w:r w:rsidRPr="00E33C22">
        <w:rPr>
          <w:rFonts w:ascii="Times New Roman" w:eastAsia="Times New Roman" w:hAnsi="Times New Roman" w:cs="Times New Roman"/>
          <w:b/>
          <w:bCs/>
          <w:sz w:val="20"/>
          <w:szCs w:val="20"/>
          <w:lang w:eastAsia="es-MX"/>
        </w:rPr>
        <w:t>Artículo 16</w:t>
      </w:r>
    </w:p>
    <w:p w:rsidR="00E33C22" w:rsidRPr="00E33C22" w:rsidRDefault="00E33C22" w:rsidP="00E33C2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5" w:name="A16P1"/>
      <w:bookmarkEnd w:id="35"/>
      <w:r w:rsidRPr="00E33C22">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E33C22" w:rsidRPr="00E33C22" w:rsidRDefault="00E33C22" w:rsidP="00E33C2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6" w:name="A16P2"/>
      <w:bookmarkEnd w:id="36"/>
      <w:r w:rsidRPr="00E33C22">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E33C22" w:rsidRPr="00E33C22" w:rsidRDefault="00E33C22" w:rsidP="00E33C22">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37" w:name="A17"/>
      <w:bookmarkEnd w:id="37"/>
      <w:r w:rsidRPr="00E33C22">
        <w:rPr>
          <w:rFonts w:ascii="Times New Roman" w:eastAsia="Times New Roman" w:hAnsi="Times New Roman" w:cs="Times New Roman"/>
          <w:b/>
          <w:bCs/>
          <w:sz w:val="20"/>
          <w:szCs w:val="20"/>
          <w:lang w:eastAsia="es-MX"/>
        </w:rPr>
        <w:t>Artículo 17</w:t>
      </w:r>
    </w:p>
    <w:p w:rsidR="00E33C22" w:rsidRPr="00E33C22" w:rsidRDefault="00E33C22" w:rsidP="00E33C2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8" w:name="A17P1"/>
      <w:bookmarkEnd w:id="38"/>
      <w:r w:rsidRPr="00E33C22">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E33C22" w:rsidRPr="00E33C22" w:rsidRDefault="00E33C22" w:rsidP="00E33C2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9" w:name="A17P2"/>
      <w:bookmarkEnd w:id="39"/>
      <w:r w:rsidRPr="00E33C22">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E33C22" w:rsidRPr="00E33C22" w:rsidRDefault="00E33C22" w:rsidP="00E33C22">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40" w:name="A18"/>
      <w:bookmarkEnd w:id="40"/>
      <w:r w:rsidRPr="00E33C22">
        <w:rPr>
          <w:rFonts w:ascii="Times New Roman" w:eastAsia="Times New Roman" w:hAnsi="Times New Roman" w:cs="Times New Roman"/>
          <w:b/>
          <w:bCs/>
          <w:sz w:val="20"/>
          <w:szCs w:val="20"/>
          <w:lang w:eastAsia="es-MX"/>
        </w:rPr>
        <w:t>Artículo 18</w:t>
      </w:r>
    </w:p>
    <w:p w:rsidR="00E33C22" w:rsidRPr="00E33C22" w:rsidRDefault="00E33C22" w:rsidP="00E33C22">
      <w:pPr>
        <w:spacing w:before="100" w:beforeAutospacing="1" w:after="100" w:afterAutospacing="1" w:line="240" w:lineRule="auto"/>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E33C22" w:rsidRPr="00E33C22" w:rsidRDefault="00E33C22" w:rsidP="00E33C22">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41" w:name="A19"/>
      <w:bookmarkEnd w:id="41"/>
      <w:r w:rsidRPr="00E33C22">
        <w:rPr>
          <w:rFonts w:ascii="Times New Roman" w:eastAsia="Times New Roman" w:hAnsi="Times New Roman" w:cs="Times New Roman"/>
          <w:b/>
          <w:bCs/>
          <w:sz w:val="20"/>
          <w:szCs w:val="20"/>
          <w:lang w:eastAsia="es-MX"/>
        </w:rPr>
        <w:t>Artículo 19</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 xml:space="preserve">A la expiración de cada período de diez años, a partir de la fecha en que este Convenio entre en vigor, el Consejo de Administración de la Oficina Internacional del Trabajo deberá presentar a la Conferencia General una memoria sobre la aplicación de este Convenio, y </w:t>
      </w:r>
      <w:r w:rsidRPr="00E33C22">
        <w:rPr>
          <w:rFonts w:ascii="Times New Roman" w:eastAsia="Times New Roman" w:hAnsi="Times New Roman" w:cs="Times New Roman"/>
          <w:sz w:val="24"/>
          <w:szCs w:val="24"/>
          <w:lang w:eastAsia="es-MX"/>
        </w:rPr>
        <w:lastRenderedPageBreak/>
        <w:t>deberá considerar la conveniencia de incluir en el orden del día de la Conferencia la cuestión de la revisión total o parcial del mismo.</w:t>
      </w:r>
    </w:p>
    <w:p w:rsidR="00E33C22" w:rsidRPr="00E33C22" w:rsidRDefault="00E33C22" w:rsidP="00E33C2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2" w:name="A20"/>
      <w:bookmarkEnd w:id="42"/>
      <w:r w:rsidRPr="00E33C22">
        <w:rPr>
          <w:rFonts w:ascii="Times New Roman" w:eastAsia="Times New Roman" w:hAnsi="Times New Roman" w:cs="Times New Roman"/>
          <w:b/>
          <w:bCs/>
          <w:sz w:val="20"/>
          <w:szCs w:val="20"/>
          <w:lang w:eastAsia="es-MX"/>
        </w:rPr>
        <w:t>Artículo 20</w:t>
      </w:r>
    </w:p>
    <w:p w:rsidR="00E33C22" w:rsidRPr="00E33C22" w:rsidRDefault="00E33C22" w:rsidP="00E33C2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3" w:name="A20P1"/>
      <w:bookmarkEnd w:id="43"/>
      <w:r w:rsidRPr="00E33C22">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E33C22" w:rsidRPr="00E33C22" w:rsidRDefault="00E33C22" w:rsidP="00E33C22">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16, siempre que el nuevo convenio revisor haya entrado en vigor;</w:t>
      </w:r>
    </w:p>
    <w:p w:rsidR="00E33C22" w:rsidRPr="00E33C22" w:rsidRDefault="00E33C22" w:rsidP="00E33C22">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E33C22" w:rsidRPr="00E33C22" w:rsidRDefault="00E33C22" w:rsidP="00E33C2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4" w:name="A20P2"/>
      <w:bookmarkEnd w:id="44"/>
      <w:r w:rsidRPr="00E33C22">
        <w:rPr>
          <w:rFonts w:ascii="Times New Roman" w:eastAsia="Times New Roman" w:hAnsi="Times New Roman" w:cs="Times New Roman"/>
          <w:sz w:val="24"/>
          <w:szCs w:val="24"/>
          <w:lang w:eastAsia="es-MX"/>
        </w:rPr>
        <w:t>2. Este Convenio continuará en vigor en todo caso, en su forma y contenido actuales, para los Miembros que lo hayan ratificado y no ratifiquen el convenio revisor.</w:t>
      </w:r>
    </w:p>
    <w:p w:rsidR="00E33C22" w:rsidRPr="00E33C22" w:rsidRDefault="00E33C22" w:rsidP="00E33C22">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45" w:name="A21"/>
      <w:bookmarkEnd w:id="45"/>
      <w:r w:rsidRPr="00E33C22">
        <w:rPr>
          <w:rFonts w:ascii="Times New Roman" w:eastAsia="Times New Roman" w:hAnsi="Times New Roman" w:cs="Times New Roman"/>
          <w:b/>
          <w:bCs/>
          <w:sz w:val="20"/>
          <w:szCs w:val="20"/>
          <w:lang w:eastAsia="es-MX"/>
        </w:rPr>
        <w:t>Artículo 21</w:t>
      </w:r>
    </w:p>
    <w:p w:rsidR="00E33C22" w:rsidRPr="00E33C22" w:rsidRDefault="00E33C22" w:rsidP="00E33C22">
      <w:pPr>
        <w:spacing w:before="100" w:beforeAutospacing="1" w:after="100" w:afterAutospacing="1" w:line="240" w:lineRule="auto"/>
        <w:rPr>
          <w:rFonts w:ascii="Times New Roman" w:eastAsia="Times New Roman" w:hAnsi="Times New Roman" w:cs="Times New Roman"/>
          <w:sz w:val="24"/>
          <w:szCs w:val="24"/>
          <w:lang w:eastAsia="es-MX"/>
        </w:rPr>
      </w:pPr>
      <w:r w:rsidRPr="00E33C22">
        <w:rPr>
          <w:rFonts w:ascii="Times New Roman" w:eastAsia="Times New Roman" w:hAnsi="Times New Roman" w:cs="Times New Roman"/>
          <w:sz w:val="24"/>
          <w:szCs w:val="24"/>
          <w:lang w:eastAsia="es-MX"/>
        </w:rPr>
        <w:t>Las versiones inglesa y francesa del texto de este Convenio son igualmente auténticas.</w:t>
      </w:r>
    </w:p>
    <w:p w:rsidR="00E33C22" w:rsidRPr="00E33C22" w:rsidRDefault="00E33C22" w:rsidP="00E33C22">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E33C22" w:rsidRPr="00E33C22" w:rsidRDefault="00E33C22" w:rsidP="00E33C22">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6831E3" w:rsidRDefault="006831E3"/>
    <w:sectPr w:rsidR="006831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4C2"/>
    <w:multiLevelType w:val="multilevel"/>
    <w:tmpl w:val="D3445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F089A"/>
    <w:multiLevelType w:val="multilevel"/>
    <w:tmpl w:val="5BA2D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D7E67"/>
    <w:multiLevelType w:val="multilevel"/>
    <w:tmpl w:val="29F4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927D60"/>
    <w:multiLevelType w:val="multilevel"/>
    <w:tmpl w:val="266C5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3C75B5"/>
    <w:multiLevelType w:val="multilevel"/>
    <w:tmpl w:val="0186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C13B97"/>
    <w:multiLevelType w:val="multilevel"/>
    <w:tmpl w:val="B082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74A60"/>
    <w:multiLevelType w:val="multilevel"/>
    <w:tmpl w:val="1A3A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B45934"/>
    <w:multiLevelType w:val="multilevel"/>
    <w:tmpl w:val="EDC4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A282A"/>
    <w:multiLevelType w:val="multilevel"/>
    <w:tmpl w:val="0844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2"/>
  </w:num>
  <w:num w:numId="4">
    <w:abstractNumId w:val="1"/>
  </w:num>
  <w:num w:numId="5">
    <w:abstractNumId w:val="3"/>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22"/>
    <w:rsid w:val="006831E3"/>
    <w:rsid w:val="00E33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5F89-1E59-42F2-81FC-B26391CB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3236">
      <w:bodyDiv w:val="1"/>
      <w:marLeft w:val="0"/>
      <w:marRight w:val="0"/>
      <w:marTop w:val="0"/>
      <w:marBottom w:val="0"/>
      <w:divBdr>
        <w:top w:val="none" w:sz="0" w:space="0" w:color="auto"/>
        <w:left w:val="none" w:sz="0" w:space="0" w:color="auto"/>
        <w:bottom w:val="none" w:sz="0" w:space="0" w:color="auto"/>
        <w:right w:val="none" w:sz="0" w:space="0" w:color="auto"/>
      </w:divBdr>
    </w:div>
    <w:div w:id="1120605579">
      <w:bodyDiv w:val="1"/>
      <w:marLeft w:val="0"/>
      <w:marRight w:val="0"/>
      <w:marTop w:val="0"/>
      <w:marBottom w:val="0"/>
      <w:divBdr>
        <w:top w:val="none" w:sz="0" w:space="0" w:color="auto"/>
        <w:left w:val="none" w:sz="0" w:space="0" w:color="auto"/>
        <w:bottom w:val="none" w:sz="0" w:space="0" w:color="auto"/>
        <w:right w:val="none" w:sz="0" w:space="0" w:color="auto"/>
      </w:divBdr>
    </w:div>
    <w:div w:id="1289893894">
      <w:bodyDiv w:val="1"/>
      <w:marLeft w:val="0"/>
      <w:marRight w:val="0"/>
      <w:marTop w:val="0"/>
      <w:marBottom w:val="0"/>
      <w:divBdr>
        <w:top w:val="none" w:sz="0" w:space="0" w:color="auto"/>
        <w:left w:val="none" w:sz="0" w:space="0" w:color="auto"/>
        <w:bottom w:val="none" w:sz="0" w:space="0" w:color="auto"/>
        <w:right w:val="none" w:sz="0" w:space="0" w:color="auto"/>
      </w:divBdr>
      <w:divsChild>
        <w:div w:id="196157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1934</Words>
  <Characters>10640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2020-05-28T05:09:00Z</dcterms:created>
  <dcterms:modified xsi:type="dcterms:W3CDTF">2020-05-28T05:14:00Z</dcterms:modified>
</cp:coreProperties>
</file>