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D9" w:rsidRDefault="00A443D9" w:rsidP="00A443D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A443D9">
        <w:rPr>
          <w:rFonts w:ascii="Times New Roman" w:eastAsia="Times New Roman" w:hAnsi="Times New Roman" w:cs="Times New Roman"/>
          <w:b/>
          <w:bCs/>
          <w:kern w:val="36"/>
          <w:sz w:val="48"/>
          <w:szCs w:val="48"/>
          <w:lang w:eastAsia="es-MX"/>
        </w:rPr>
        <w:t>C008 - Convenio sobre las indemnizaciones de desempleo</w:t>
      </w:r>
      <w:r>
        <w:rPr>
          <w:rFonts w:ascii="Times New Roman" w:eastAsia="Times New Roman" w:hAnsi="Times New Roman" w:cs="Times New Roman"/>
          <w:b/>
          <w:bCs/>
          <w:kern w:val="36"/>
          <w:sz w:val="48"/>
          <w:szCs w:val="48"/>
          <w:lang w:eastAsia="es-MX"/>
        </w:rPr>
        <w:t>.</w:t>
      </w:r>
    </w:p>
    <w:p w:rsidR="00A443D9" w:rsidRPr="00A443D9" w:rsidRDefault="00A443D9" w:rsidP="00A443D9">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A443D9">
        <w:rPr>
          <w:rFonts w:ascii="Times New Roman" w:eastAsia="Times New Roman" w:hAnsi="Times New Roman" w:cs="Times New Roman"/>
          <w:b/>
          <w:bCs/>
          <w:sz w:val="36"/>
          <w:szCs w:val="36"/>
          <w:lang w:eastAsia="es-MX"/>
        </w:rPr>
        <w:t xml:space="preserve">Preámbulo </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La Conferencia General de la Organización Internacional del Trabajo:</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Convocada en Génova por el Consejo de Administración de la Oficina Internacional del Trabajo el 15 de junio de 1920;</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 xml:space="preserve">Después de haber decidido adoptar diversas proposiciones relativas a la inspección de las condiciones de enrolamiento de la gente de mar; colocación; condiciones para la aplicación, a la gente de mar, del Convenio y de las Recomendaciones sobre el desempleo y el seguro contra el desempleo, aprobados en </w:t>
      </w:r>
      <w:proofErr w:type="spellStart"/>
      <w:r w:rsidRPr="00A443D9">
        <w:rPr>
          <w:rFonts w:ascii="Times New Roman" w:eastAsia="Times New Roman" w:hAnsi="Times New Roman" w:cs="Times New Roman"/>
          <w:sz w:val="24"/>
          <w:szCs w:val="24"/>
          <w:lang w:eastAsia="es-MX"/>
        </w:rPr>
        <w:t>Wáshington</w:t>
      </w:r>
      <w:proofErr w:type="spellEnd"/>
      <w:r w:rsidRPr="00A443D9">
        <w:rPr>
          <w:rFonts w:ascii="Times New Roman" w:eastAsia="Times New Roman" w:hAnsi="Times New Roman" w:cs="Times New Roman"/>
          <w:sz w:val="24"/>
          <w:szCs w:val="24"/>
          <w:lang w:eastAsia="es-MX"/>
        </w:rPr>
        <w:t xml:space="preserve"> en el mes de noviembre último, cuestión que constituye el segundo punto del orden del día de la reunión de la Conferencia celebrada en Génova, y</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A443D9">
        <w:rPr>
          <w:rFonts w:ascii="Times New Roman" w:eastAsia="Times New Roman" w:hAnsi="Times New Roman" w:cs="Times New Roman"/>
          <w:sz w:val="24"/>
          <w:szCs w:val="24"/>
          <w:lang w:eastAsia="es-MX"/>
        </w:rPr>
        <w:t>adopta el siguiente Convenio, que podrá ser citado como el Convenio sobre las indemnizaciones de desempleo (naufragio), 1920, y que será sometido a la ratificación de los Miembros de la Organización Internacional del Trabajo, de acuerdo con las disposiciones de la Constitución de la Organización Internacional del Trabajo:</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A443D9">
        <w:rPr>
          <w:rFonts w:ascii="Times New Roman" w:eastAsia="Times New Roman" w:hAnsi="Times New Roman" w:cs="Times New Roman"/>
          <w:b/>
          <w:bCs/>
          <w:sz w:val="20"/>
          <w:szCs w:val="20"/>
          <w:lang w:eastAsia="es-MX"/>
        </w:rPr>
        <w:t>Artículo 1</w:t>
      </w:r>
    </w:p>
    <w:p w:rsidR="00A443D9" w:rsidRPr="00A443D9" w:rsidRDefault="00A443D9" w:rsidP="00A443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 w:name="A1P1"/>
      <w:bookmarkEnd w:id="1"/>
      <w:r w:rsidRPr="00A443D9">
        <w:rPr>
          <w:rFonts w:ascii="Times New Roman" w:eastAsia="Times New Roman" w:hAnsi="Times New Roman" w:cs="Times New Roman"/>
          <w:sz w:val="24"/>
          <w:szCs w:val="24"/>
          <w:lang w:eastAsia="es-MX"/>
        </w:rPr>
        <w:t xml:space="preserve">1. A los efectos del presente Convenio, la expresión </w:t>
      </w:r>
      <w:r w:rsidRPr="00A443D9">
        <w:rPr>
          <w:rFonts w:ascii="Times New Roman" w:eastAsia="Times New Roman" w:hAnsi="Times New Roman" w:cs="Times New Roman"/>
          <w:b/>
          <w:bCs/>
          <w:i/>
          <w:iCs/>
          <w:sz w:val="24"/>
          <w:szCs w:val="24"/>
          <w:lang w:eastAsia="es-MX"/>
        </w:rPr>
        <w:t>gente de mar</w:t>
      </w:r>
      <w:r w:rsidRPr="00A443D9">
        <w:rPr>
          <w:rFonts w:ascii="Times New Roman" w:eastAsia="Times New Roman" w:hAnsi="Times New Roman" w:cs="Times New Roman"/>
          <w:b/>
          <w:bCs/>
          <w:sz w:val="24"/>
          <w:szCs w:val="24"/>
          <w:lang w:eastAsia="es-MX"/>
        </w:rPr>
        <w:t xml:space="preserve"> </w:t>
      </w:r>
      <w:r w:rsidRPr="00A443D9">
        <w:rPr>
          <w:rFonts w:ascii="Times New Roman" w:eastAsia="Times New Roman" w:hAnsi="Times New Roman" w:cs="Times New Roman"/>
          <w:sz w:val="24"/>
          <w:szCs w:val="24"/>
          <w:lang w:eastAsia="es-MX"/>
        </w:rPr>
        <w:t>comprende todas las personas empleadas a bordo de cualquier buque que se dedique a la navegación marítima.</w:t>
      </w:r>
    </w:p>
    <w:p w:rsidR="00A443D9" w:rsidRPr="00A443D9" w:rsidRDefault="00A443D9" w:rsidP="00A443D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2"/>
      <w:bookmarkEnd w:id="2"/>
      <w:r w:rsidRPr="00A443D9">
        <w:rPr>
          <w:rFonts w:ascii="Times New Roman" w:eastAsia="Times New Roman" w:hAnsi="Times New Roman" w:cs="Times New Roman"/>
          <w:sz w:val="24"/>
          <w:szCs w:val="24"/>
          <w:lang w:eastAsia="es-MX"/>
        </w:rPr>
        <w:t xml:space="preserve">2. A los efectos del presente Convenio, el término </w:t>
      </w:r>
      <w:r w:rsidRPr="00A443D9">
        <w:rPr>
          <w:rFonts w:ascii="Times New Roman" w:eastAsia="Times New Roman" w:hAnsi="Times New Roman" w:cs="Times New Roman"/>
          <w:b/>
          <w:bCs/>
          <w:i/>
          <w:iCs/>
          <w:sz w:val="24"/>
          <w:szCs w:val="24"/>
          <w:lang w:eastAsia="es-MX"/>
        </w:rPr>
        <w:t>buque</w:t>
      </w:r>
      <w:r w:rsidRPr="00A443D9">
        <w:rPr>
          <w:rFonts w:ascii="Times New Roman" w:eastAsia="Times New Roman" w:hAnsi="Times New Roman" w:cs="Times New Roman"/>
          <w:b/>
          <w:bCs/>
          <w:sz w:val="24"/>
          <w:szCs w:val="24"/>
          <w:lang w:eastAsia="es-MX"/>
        </w:rPr>
        <w:t xml:space="preserve"> </w:t>
      </w:r>
      <w:r w:rsidRPr="00A443D9">
        <w:rPr>
          <w:rFonts w:ascii="Times New Roman" w:eastAsia="Times New Roman" w:hAnsi="Times New Roman" w:cs="Times New Roman"/>
          <w:sz w:val="24"/>
          <w:szCs w:val="24"/>
          <w:lang w:eastAsia="es-MX"/>
        </w:rPr>
        <w:t>comprende todas las embarcaciones, buques o barcos, cualquiera que sea su clase, de propiedad pública o privada, que se dediquen a la navegación marítima, excepción hecha de los buques de guerra.</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3" w:name="A2"/>
      <w:bookmarkEnd w:id="3"/>
      <w:r w:rsidRPr="00A443D9">
        <w:rPr>
          <w:rFonts w:ascii="Times New Roman" w:eastAsia="Times New Roman" w:hAnsi="Times New Roman" w:cs="Times New Roman"/>
          <w:b/>
          <w:bCs/>
          <w:sz w:val="20"/>
          <w:szCs w:val="20"/>
          <w:lang w:eastAsia="es-MX"/>
        </w:rPr>
        <w:t>Artículo 2</w:t>
      </w:r>
    </w:p>
    <w:p w:rsidR="00A443D9" w:rsidRPr="00A443D9" w:rsidRDefault="00A443D9" w:rsidP="00A443D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4" w:name="A2P1"/>
      <w:bookmarkEnd w:id="4"/>
      <w:r w:rsidRPr="00A443D9">
        <w:rPr>
          <w:rFonts w:ascii="Times New Roman" w:eastAsia="Times New Roman" w:hAnsi="Times New Roman" w:cs="Times New Roman"/>
          <w:sz w:val="24"/>
          <w:szCs w:val="24"/>
          <w:lang w:eastAsia="es-MX"/>
        </w:rPr>
        <w:t>1. En caso de pérdida por naufragio de un buque cualquiera, el armador, o la persona con la cual la gente de mar hubiere celebrado un contrato para servir a bordo del buque, deberá pagar a cada una de las personas empleadas en dicho buque una indemnización que le permita hacer frente al desempleo resultante de la pérdida del buque por naufragio.</w:t>
      </w:r>
    </w:p>
    <w:p w:rsidR="00A443D9" w:rsidRDefault="00A443D9" w:rsidP="00A443D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2P2"/>
      <w:bookmarkEnd w:id="5"/>
      <w:r w:rsidRPr="00A443D9">
        <w:rPr>
          <w:rFonts w:ascii="Times New Roman" w:eastAsia="Times New Roman" w:hAnsi="Times New Roman" w:cs="Times New Roman"/>
          <w:sz w:val="24"/>
          <w:szCs w:val="24"/>
          <w:lang w:eastAsia="es-MX"/>
        </w:rPr>
        <w:t>2. Dicha indemnización se pagará por todos los días del período efectivo de desempleo de la gente de mar con arreglo a la tasa del salario pagadero en virtud del contrato, pero el importe total de la indemnización pagadera a cada persona en virtud del presente Convenio podrá limitarse a dos meses de salario.</w:t>
      </w:r>
    </w:p>
    <w:p w:rsid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_GoBack"/>
      <w:bookmarkEnd w:id="6"/>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3"/>
      <w:bookmarkEnd w:id="7"/>
      <w:r w:rsidRPr="00A443D9">
        <w:rPr>
          <w:rFonts w:ascii="Times New Roman" w:eastAsia="Times New Roman" w:hAnsi="Times New Roman" w:cs="Times New Roman"/>
          <w:b/>
          <w:bCs/>
          <w:sz w:val="20"/>
          <w:szCs w:val="20"/>
          <w:lang w:eastAsia="es-MX"/>
        </w:rPr>
        <w:lastRenderedPageBreak/>
        <w:t>Artículo 3</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La gente de mar podrá recurrir, para el cobro de dichas indemnizaciones, a los mismos procedimientos que para el cobro de los atrasos de salarios devengados durante el servicio.</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8" w:name="A4"/>
      <w:bookmarkEnd w:id="8"/>
      <w:r w:rsidRPr="00A443D9">
        <w:rPr>
          <w:rFonts w:ascii="Times New Roman" w:eastAsia="Times New Roman" w:hAnsi="Times New Roman" w:cs="Times New Roman"/>
          <w:b/>
          <w:bCs/>
          <w:sz w:val="20"/>
          <w:szCs w:val="20"/>
          <w:lang w:eastAsia="es-MX"/>
        </w:rPr>
        <w:t>Artículo 4</w:t>
      </w:r>
    </w:p>
    <w:p w:rsidR="00A443D9" w:rsidRPr="00A443D9" w:rsidRDefault="00A443D9" w:rsidP="00A443D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4P1"/>
      <w:bookmarkEnd w:id="9"/>
      <w:r w:rsidRPr="00A443D9">
        <w:rPr>
          <w:rFonts w:ascii="Times New Roman" w:eastAsia="Times New Roman" w:hAnsi="Times New Roman" w:cs="Times New Roman"/>
          <w:sz w:val="24"/>
          <w:szCs w:val="24"/>
          <w:lang w:eastAsia="es-MX"/>
        </w:rPr>
        <w:t xml:space="preserve">1. Todo Miembro de la Organización Internacional del Trabajo que ratifique el presente Convenio se obliga a aplicarlo en aquellas de sus colonias o posesiones, o en aquellos de sus protectorados que no se gobiernen por sí mismos, a reserva de: </w:t>
      </w:r>
    </w:p>
    <w:p w:rsidR="00A443D9" w:rsidRPr="00A443D9" w:rsidRDefault="00A443D9" w:rsidP="00A443D9">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(a) que las condiciones locales imposibiliten la aplicación de las disposiciones del Convenio;</w:t>
      </w:r>
    </w:p>
    <w:p w:rsidR="00A443D9" w:rsidRPr="00A443D9" w:rsidRDefault="00A443D9" w:rsidP="00A443D9">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(b) que puedan introducirse en el Convenio las modificaciones necesarias para su adaptación a las condiciones locales.</w:t>
      </w:r>
    </w:p>
    <w:p w:rsidR="00A443D9" w:rsidRPr="00A443D9" w:rsidRDefault="00A443D9" w:rsidP="00A443D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4P2"/>
      <w:bookmarkEnd w:id="10"/>
      <w:r w:rsidRPr="00A443D9">
        <w:rPr>
          <w:rFonts w:ascii="Times New Roman" w:eastAsia="Times New Roman" w:hAnsi="Times New Roman" w:cs="Times New Roman"/>
          <w:sz w:val="24"/>
          <w:szCs w:val="24"/>
          <w:lang w:eastAsia="es-MX"/>
        </w:rPr>
        <w:t>2. Cada Miembro deberá notificar a la Oficina Internacional del Trabajo su decisión en lo que concierne a cada una de sus colonias o posesiones, o a cada uno de sus protectorados que no se gobiernen plenamente por sí mismos.</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5"/>
      <w:bookmarkEnd w:id="11"/>
      <w:r w:rsidRPr="00A443D9">
        <w:rPr>
          <w:rFonts w:ascii="Times New Roman" w:eastAsia="Times New Roman" w:hAnsi="Times New Roman" w:cs="Times New Roman"/>
          <w:b/>
          <w:bCs/>
          <w:sz w:val="20"/>
          <w:szCs w:val="20"/>
          <w:lang w:eastAsia="es-MX"/>
        </w:rPr>
        <w:t>Artículo 5</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6"/>
      <w:bookmarkEnd w:id="12"/>
      <w:r w:rsidRPr="00A443D9">
        <w:rPr>
          <w:rFonts w:ascii="Times New Roman" w:eastAsia="Times New Roman" w:hAnsi="Times New Roman" w:cs="Times New Roman"/>
          <w:b/>
          <w:bCs/>
          <w:sz w:val="20"/>
          <w:szCs w:val="20"/>
          <w:lang w:eastAsia="es-MX"/>
        </w:rPr>
        <w:t>Artículo 6</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3" w:name="A7"/>
      <w:bookmarkEnd w:id="13"/>
      <w:r w:rsidRPr="00A443D9">
        <w:rPr>
          <w:rFonts w:ascii="Times New Roman" w:eastAsia="Times New Roman" w:hAnsi="Times New Roman" w:cs="Times New Roman"/>
          <w:b/>
          <w:bCs/>
          <w:sz w:val="20"/>
          <w:szCs w:val="20"/>
          <w:lang w:eastAsia="es-MX"/>
        </w:rPr>
        <w:t>Artículo 7</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Este Convenio entrará en vigor en la fecha en que el Director General de la Oficina Internacional del Trabajo haya efectuado dicha notificación, y sólo obligará a los Miembros que hayan registrado su ratificación en la Oficina Internacional del Trabajo. Desde dicho momento, este Convenio entrará en vigor, para cualquier otro Miembro, en la fecha en que haya sido registrada su ratificación en la Oficina Internacional del Trabajo.</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8"/>
      <w:bookmarkEnd w:id="14"/>
      <w:r w:rsidRPr="00A443D9">
        <w:rPr>
          <w:rFonts w:ascii="Times New Roman" w:eastAsia="Times New Roman" w:hAnsi="Times New Roman" w:cs="Times New Roman"/>
          <w:b/>
          <w:bCs/>
          <w:sz w:val="20"/>
          <w:szCs w:val="20"/>
          <w:lang w:eastAsia="es-MX"/>
        </w:rPr>
        <w:t>Artículo 8</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A reserva de las disposiciones del artículo 7, todo Miembro que ratifique el presente Convenio se obliga a aplicar sus disposiciones a más tardar el 1 de julio de 1922, y a tomar las medidas necesarias para el cumplimiento de dichas disposiciones.</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5" w:name="A9"/>
      <w:bookmarkEnd w:id="15"/>
      <w:r w:rsidRPr="00A443D9">
        <w:rPr>
          <w:rFonts w:ascii="Times New Roman" w:eastAsia="Times New Roman" w:hAnsi="Times New Roman" w:cs="Times New Roman"/>
          <w:b/>
          <w:bCs/>
          <w:sz w:val="20"/>
          <w:szCs w:val="20"/>
          <w:lang w:eastAsia="es-MX"/>
        </w:rPr>
        <w:t>Artículo 9</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 xml:space="preserve">Todo Miembro que haya ratificado este Convenio podrá denunciarlo a la expiración de un período de cinco años, a partir de la fecha en que se haya puesto inicialmente en vigor, mediante un acta </w:t>
      </w:r>
      <w:r w:rsidRPr="00A443D9">
        <w:rPr>
          <w:rFonts w:ascii="Times New Roman" w:eastAsia="Times New Roman" w:hAnsi="Times New Roman" w:cs="Times New Roman"/>
          <w:sz w:val="24"/>
          <w:szCs w:val="24"/>
          <w:lang w:eastAsia="es-MX"/>
        </w:rPr>
        <w:lastRenderedPageBreak/>
        <w:t>comunicada, para su registro, al Director General de la Oficina Internacional del Trabajo. La denuncia no surtirá efecto hasta un año después de la fecha en que se haya registrado en la Oficina Internacional del Trabajo.</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10"/>
      <w:bookmarkEnd w:id="16"/>
      <w:r w:rsidRPr="00A443D9">
        <w:rPr>
          <w:rFonts w:ascii="Times New Roman" w:eastAsia="Times New Roman" w:hAnsi="Times New Roman" w:cs="Times New Roman"/>
          <w:b/>
          <w:bCs/>
          <w:sz w:val="20"/>
          <w:szCs w:val="20"/>
          <w:lang w:eastAsia="es-MX"/>
        </w:rPr>
        <w:t>Artículo 10</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A443D9" w:rsidRPr="00A443D9" w:rsidRDefault="00A443D9" w:rsidP="00A443D9">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11"/>
      <w:bookmarkEnd w:id="17"/>
      <w:r w:rsidRPr="00A443D9">
        <w:rPr>
          <w:rFonts w:ascii="Times New Roman" w:eastAsia="Times New Roman" w:hAnsi="Times New Roman" w:cs="Times New Roman"/>
          <w:b/>
          <w:bCs/>
          <w:sz w:val="20"/>
          <w:szCs w:val="20"/>
          <w:lang w:eastAsia="es-MX"/>
        </w:rPr>
        <w:t>Artículo 11</w:t>
      </w:r>
    </w:p>
    <w:p w:rsidR="00A443D9" w:rsidRPr="00A443D9" w:rsidRDefault="00A443D9" w:rsidP="00A443D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A443D9">
        <w:rPr>
          <w:rFonts w:ascii="Times New Roman" w:eastAsia="Times New Roman" w:hAnsi="Times New Roman" w:cs="Times New Roman"/>
          <w:sz w:val="24"/>
          <w:szCs w:val="24"/>
          <w:lang w:eastAsia="es-MX"/>
        </w:rPr>
        <w:t>Las versiones inglesa y francesa del texto de este Convenio son igualmente auténticas.</w:t>
      </w:r>
    </w:p>
    <w:p w:rsidR="00A443D9" w:rsidRPr="00A443D9" w:rsidRDefault="00A443D9" w:rsidP="00A443D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477A58" w:rsidRDefault="00477A58"/>
    <w:sectPr w:rsidR="00477A58" w:rsidSect="00A443D9">
      <w:pgSz w:w="12240" w:h="15840"/>
      <w:pgMar w:top="1417"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26062"/>
    <w:multiLevelType w:val="multilevel"/>
    <w:tmpl w:val="C3AE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15446"/>
    <w:multiLevelType w:val="multilevel"/>
    <w:tmpl w:val="9194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795254"/>
    <w:multiLevelType w:val="multilevel"/>
    <w:tmpl w:val="5734C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D9"/>
    <w:rsid w:val="00477A58"/>
    <w:rsid w:val="00A44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5FD53-A14A-4525-BE8B-1C9DEA12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91461">
      <w:bodyDiv w:val="1"/>
      <w:marLeft w:val="0"/>
      <w:marRight w:val="0"/>
      <w:marTop w:val="0"/>
      <w:marBottom w:val="0"/>
      <w:divBdr>
        <w:top w:val="none" w:sz="0" w:space="0" w:color="auto"/>
        <w:left w:val="none" w:sz="0" w:space="0" w:color="auto"/>
        <w:bottom w:val="none" w:sz="0" w:space="0" w:color="auto"/>
        <w:right w:val="none" w:sz="0" w:space="0" w:color="auto"/>
      </w:divBdr>
      <w:divsChild>
        <w:div w:id="174534580">
          <w:marLeft w:val="0"/>
          <w:marRight w:val="0"/>
          <w:marTop w:val="0"/>
          <w:marBottom w:val="0"/>
          <w:divBdr>
            <w:top w:val="none" w:sz="0" w:space="0" w:color="auto"/>
            <w:left w:val="none" w:sz="0" w:space="0" w:color="auto"/>
            <w:bottom w:val="none" w:sz="0" w:space="0" w:color="auto"/>
            <w:right w:val="none" w:sz="0" w:space="0" w:color="auto"/>
          </w:divBdr>
        </w:div>
      </w:divsChild>
    </w:div>
    <w:div w:id="20037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2020-05-30T03:35:00Z</dcterms:created>
  <dcterms:modified xsi:type="dcterms:W3CDTF">2020-05-30T03:39:00Z</dcterms:modified>
</cp:coreProperties>
</file>